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January 24, 2020</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49"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49"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4"/>
        </w:trPr>
        <w:tc>
          <w:tcPr>
            <w:tcW w:w="12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Title of each class</w:t>
            </w: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Trading Symbol(s)</w:t>
            </w: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35"/>
        </w:trPr>
        <w:tc>
          <w:tcPr>
            <w:tcW w:w="4540" w:type="dxa"/>
            <w:vAlign w:val="bottom"/>
            <w:gridSpan w:val="3"/>
          </w:tcPr>
          <w:p>
            <w:pPr>
              <w:jc w:val="center"/>
              <w:ind w:right="740"/>
              <w:spacing w:after="0"/>
              <w:rPr>
                <w:sz w:val="20"/>
                <w:szCs w:val="20"/>
                <w:color w:val="auto"/>
              </w:rPr>
            </w:pPr>
            <w:r>
              <w:rPr>
                <w:rFonts w:ascii="Arial" w:cs="Arial" w:eastAsia="Arial" w:hAnsi="Arial"/>
                <w:sz w:val="18"/>
                <w:szCs w:val="18"/>
                <w:color w:val="auto"/>
                <w:w w:val="87"/>
              </w:rPr>
              <w:t>Common Stock, par value $0.001 per share</w:t>
            </w:r>
          </w:p>
        </w:tc>
        <w:tc>
          <w:tcPr>
            <w:tcW w:w="500" w:type="dxa"/>
            <w:vAlign w:val="bottom"/>
          </w:tcPr>
          <w:p>
            <w:pPr>
              <w:spacing w:after="0"/>
              <w:rPr>
                <w:sz w:val="20"/>
                <w:szCs w:val="20"/>
                <w:color w:val="auto"/>
              </w:rPr>
            </w:pPr>
          </w:p>
        </w:tc>
        <w:tc>
          <w:tcPr>
            <w:tcW w:w="2920" w:type="dxa"/>
            <w:vAlign w:val="bottom"/>
            <w:gridSpan w:val="2"/>
          </w:tcPr>
          <w:p>
            <w:pPr>
              <w:jc w:val="center"/>
              <w:ind w:right="1580"/>
              <w:spacing w:after="0"/>
              <w:rPr>
                <w:sz w:val="20"/>
                <w:szCs w:val="20"/>
                <w:color w:val="auto"/>
              </w:rPr>
            </w:pPr>
            <w:r>
              <w:rPr>
                <w:rFonts w:ascii="Arial" w:cs="Arial" w:eastAsia="Arial" w:hAnsi="Arial"/>
                <w:sz w:val="18"/>
                <w:szCs w:val="18"/>
                <w:color w:val="auto"/>
                <w:w w:val="99"/>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2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872490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Purchase Agreement</w:t>
      </w:r>
    </w:p>
    <w:p>
      <w:pPr>
        <w:spacing w:after="0" w:line="15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On January 24, 2020,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entered into a securities purchase agreement with certain accredited investors (the “</w:t>
      </w:r>
      <w:r>
        <w:rPr>
          <w:rFonts w:ascii="Arial" w:cs="Arial" w:eastAsia="Arial" w:hAnsi="Arial"/>
          <w:sz w:val="16"/>
          <w:szCs w:val="16"/>
          <w:i w:val="1"/>
          <w:iCs w:val="1"/>
          <w:color w:val="auto"/>
        </w:rPr>
        <w:t>Purchase Agreement</w:t>
      </w:r>
      <w:r>
        <w:rPr>
          <w:rFonts w:ascii="Arial" w:cs="Arial" w:eastAsia="Arial" w:hAnsi="Arial"/>
          <w:sz w:val="16"/>
          <w:szCs w:val="16"/>
          <w:color w:val="auto"/>
        </w:rPr>
        <w:t>”), pursuant to which the Company agreed to sell, in a self-placed registered direct offering, an aggregate of 3,870,077 shares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at a purchase price of $0.71058 per share (the “</w:t>
      </w:r>
      <w:r>
        <w:rPr>
          <w:rFonts w:ascii="Arial" w:cs="Arial" w:eastAsia="Arial" w:hAnsi="Arial"/>
          <w:sz w:val="16"/>
          <w:szCs w:val="16"/>
          <w:i w:val="1"/>
          <w:iCs w:val="1"/>
          <w:color w:val="auto"/>
        </w:rPr>
        <w:t>Offering</w:t>
      </w:r>
      <w:r>
        <w:rPr>
          <w:rFonts w:ascii="Arial" w:cs="Arial" w:eastAsia="Arial" w:hAnsi="Arial"/>
          <w:sz w:val="16"/>
          <w:szCs w:val="16"/>
          <w:color w:val="auto"/>
        </w:rPr>
        <w:t>”). Concurrently with the Offering, and pursuant to the Purchase Agreement, the Company also commenced a private placement whereby it agreed to issue and sell warrants (the “</w:t>
      </w:r>
      <w:r>
        <w:rPr>
          <w:rFonts w:ascii="Arial" w:cs="Arial" w:eastAsia="Arial" w:hAnsi="Arial"/>
          <w:sz w:val="16"/>
          <w:szCs w:val="16"/>
          <w:i w:val="1"/>
          <w:iCs w:val="1"/>
          <w:color w:val="auto"/>
        </w:rPr>
        <w:t>Warrants</w:t>
      </w:r>
      <w:r>
        <w:rPr>
          <w:rFonts w:ascii="Arial" w:cs="Arial" w:eastAsia="Arial" w:hAnsi="Arial"/>
          <w:sz w:val="16"/>
          <w:szCs w:val="16"/>
          <w:color w:val="auto"/>
        </w:rPr>
        <w:t>”) exercisable for an aggregate of 3,870,077 unregistered shares of Common Stock (the “</w:t>
      </w:r>
      <w:r>
        <w:rPr>
          <w:rFonts w:ascii="Arial" w:cs="Arial" w:eastAsia="Arial" w:hAnsi="Arial"/>
          <w:sz w:val="16"/>
          <w:szCs w:val="16"/>
          <w:i w:val="1"/>
          <w:iCs w:val="1"/>
          <w:color w:val="auto"/>
        </w:rPr>
        <w:t>Warrant Shares</w:t>
      </w:r>
      <w:r>
        <w:rPr>
          <w:rFonts w:ascii="Arial" w:cs="Arial" w:eastAsia="Arial" w:hAnsi="Arial"/>
          <w:sz w:val="16"/>
          <w:szCs w:val="16"/>
          <w:color w:val="auto"/>
        </w:rPr>
        <w:t>”), which represents 100% of the shares of Common Stock sold in the Offering, with an exercise price of $0.73 per Warrant Share (the “</w:t>
      </w:r>
      <w:r>
        <w:rPr>
          <w:rFonts w:ascii="Arial" w:cs="Arial" w:eastAsia="Arial" w:hAnsi="Arial"/>
          <w:sz w:val="16"/>
          <w:szCs w:val="16"/>
          <w:i w:val="1"/>
          <w:iCs w:val="1"/>
          <w:color w:val="auto"/>
        </w:rPr>
        <w:t>Private Placement</w:t>
      </w:r>
      <w:r>
        <w:rPr>
          <w:rFonts w:ascii="Arial" w:cs="Arial" w:eastAsia="Arial" w:hAnsi="Arial"/>
          <w:sz w:val="16"/>
          <w:szCs w:val="16"/>
          <w:color w:val="auto"/>
        </w:rPr>
        <w:t>”).</w:t>
      </w:r>
    </w:p>
    <w:p>
      <w:pPr>
        <w:spacing w:after="0" w:line="17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Warrants contain customary provisions allowing for adjustment to the exercise price and number of Warrant Shares issuable only in the event of any stock dividend and split, reverse stock split, recapitalization, reorganization or similar transaction, as described in the Warrants. In addition, subject to limited exceptions, holders of the Warrants will not have the right to exercise any portion of their respective Warrants if the holder, together with any affiliates, would beneficially own in excess of 4.99% of the number of shares of the Company’s Common Stock outstanding immediately after giving effect to such exercise. The Warrants are exercisable from any time after the six month anniversary of issuance (the “</w:t>
      </w:r>
      <w:r>
        <w:rPr>
          <w:rFonts w:ascii="Arial" w:cs="Arial" w:eastAsia="Arial" w:hAnsi="Arial"/>
          <w:sz w:val="16"/>
          <w:szCs w:val="16"/>
          <w:i w:val="1"/>
          <w:iCs w:val="1"/>
          <w:color w:val="auto"/>
        </w:rPr>
        <w:t>Initial Exercise Date</w:t>
      </w:r>
      <w:r>
        <w:rPr>
          <w:rFonts w:ascii="Arial" w:cs="Arial" w:eastAsia="Arial" w:hAnsi="Arial"/>
          <w:sz w:val="16"/>
          <w:szCs w:val="16"/>
          <w:color w:val="auto"/>
        </w:rPr>
        <w:t>”) and will expire on the fifth year anniversary of the Initial Exercise Date. The Warrants and the Warrants Shares have not been registered with the Securities and Exchange Commission.</w:t>
      </w:r>
    </w:p>
    <w:p>
      <w:pPr>
        <w:spacing w:after="0" w:line="10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3,870,077 shares of Common Stock sold in the Offering (but not the Warrants or the Warrant Shares) were offered and sold pursuant to a prospectus, dated September 30, 2019, and a prospectus supplement dated January 24, 2020, in connection with a takedown from the Company’s shelf registration statement (“</w:t>
      </w:r>
      <w:r>
        <w:rPr>
          <w:rFonts w:ascii="Arial" w:cs="Arial" w:eastAsia="Arial" w:hAnsi="Arial"/>
          <w:sz w:val="18"/>
          <w:szCs w:val="18"/>
          <w:i w:val="1"/>
          <w:iCs w:val="1"/>
          <w:color w:val="auto"/>
        </w:rPr>
        <w:t>Registration Statement</w:t>
      </w:r>
      <w:r>
        <w:rPr>
          <w:rFonts w:ascii="Arial" w:cs="Arial" w:eastAsia="Arial" w:hAnsi="Arial"/>
          <w:sz w:val="18"/>
          <w:szCs w:val="18"/>
          <w:color w:val="auto"/>
        </w:rPr>
        <w:t>”) on Form S-3 (File No. 333-234025).</w:t>
      </w:r>
    </w:p>
    <w:p>
      <w:pPr>
        <w:spacing w:after="0" w:line="127"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The issuance and sale of the Warrants pursuant to the Purchase Agreement and the issuance and sale of the Warrant Shares upon exercise of the Warrants are not being registered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are not being offered pursuant to the Registration Statement and are being offered pursuant to the exemption provided in Section 4(a)(2) under the Securities Act and Regulation D promulgated thereunder. The Company expects to use the proceeds from the Offering for research and development expenses associated with continuing development of PH94B, PH10, AV-101, potential drug rescue candidates, and for other working capital and capital expenditures.</w:t>
      </w:r>
    </w:p>
    <w:p>
      <w:pPr>
        <w:spacing w:after="0" w:line="102"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The foregoing descriptions of the Purchase Agreement and the Warrants are not complete and are qualified in their entirety by references to the full text of the Form of Purchase Agreement and the Form of Warrant which are filed as exhibits to this report and are incorporated by reference herein.</w:t>
      </w:r>
    </w:p>
    <w:p>
      <w:pPr>
        <w:spacing w:after="0" w:line="72"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A copy of the opinion of Disclosure Law Group, a Professional Corporation, relating to the validity of the securities issued in the Offering is filed herewith as Exhibit 5.1.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164" w:lineRule="exact"/>
        <w:rPr>
          <w:sz w:val="20"/>
          <w:szCs w:val="20"/>
          <w:color w:val="auto"/>
        </w:rPr>
      </w:pPr>
    </w:p>
    <w:p>
      <w:pPr>
        <w:ind w:right="160" w:firstLine="486"/>
        <w:spacing w:after="0" w:line="268" w:lineRule="auto"/>
        <w:rPr>
          <w:sz w:val="20"/>
          <w:szCs w:val="20"/>
          <w:color w:val="auto"/>
        </w:rPr>
      </w:pPr>
      <w:r>
        <w:rPr>
          <w:rFonts w:ascii="Arial" w:cs="Arial" w:eastAsia="Arial" w:hAnsi="Arial"/>
          <w:sz w:val="18"/>
          <w:szCs w:val="18"/>
          <w:color w:val="auto"/>
        </w:rPr>
        <w:t>The disclosures in Item 1.01 of this Current Report on Form 8-K regarding the issuance of the Warrants and the Warrant Shares issuable upon exercise of the Warrants are incorporated by reference into this Item 3.02.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gridSpan w:val="6"/>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19"/>
                <w:szCs w:val="19"/>
                <w:color w:val="auto"/>
              </w:rPr>
            </w:pPr>
          </w:p>
        </w:tc>
        <w:tc>
          <w:tcPr>
            <w:tcW w:w="10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14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4"/>
            <w:shd w:val="clear" w:color="auto" w:fill="CCEEFF"/>
          </w:tcPr>
          <w:p>
            <w:pPr>
              <w:jc w:val="center"/>
              <w:ind w:left="332"/>
              <w:spacing w:after="0" w:line="17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Opinion of Disclosure Law Group, a Professional Corporation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4"/>
          </w:tcPr>
          <w:p>
            <w:pPr>
              <w:jc w:val="center"/>
              <w:ind w:left="312"/>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40" w:type="dxa"/>
            <w:vAlign w:val="bottom"/>
          </w:tcPr>
          <w:p>
            <w:pPr>
              <w:spacing w:after="0" w:line="176" w:lineRule="exact"/>
              <w:rPr>
                <w:sz w:val="20"/>
                <w:szCs w:val="20"/>
                <w:color w:val="auto"/>
              </w:rPr>
            </w:pPr>
            <w:r>
              <w:rPr>
                <w:rFonts w:ascii="Arial" w:cs="Arial" w:eastAsia="Arial" w:hAnsi="Arial"/>
                <w:sz w:val="18"/>
                <w:szCs w:val="18"/>
                <w:color w:val="auto"/>
                <w:w w:val="89"/>
              </w:rPr>
              <w:t>Form of Securities Purchase Agreement, dated January 24, 2020, between the Company and each purchaser named in the signature pages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thereto</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gridSpan w:val="3"/>
            <w:shd w:val="clear" w:color="auto" w:fill="CCEEFF"/>
          </w:tcPr>
          <w:p>
            <w:pPr>
              <w:jc w:val="center"/>
              <w:spacing w:after="0" w:line="177"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4"/>
          </w:tcPr>
          <w:p>
            <w:pPr>
              <w:jc w:val="center"/>
              <w:ind w:left="312"/>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40" w:type="dxa"/>
            <w:vAlign w:val="bottom"/>
          </w:tcPr>
          <w:p>
            <w:pPr>
              <w:spacing w:after="0" w:line="176" w:lineRule="exact"/>
              <w:rPr>
                <w:sz w:val="20"/>
                <w:szCs w:val="20"/>
                <w:color w:val="auto"/>
              </w:rPr>
            </w:pPr>
            <w:r>
              <w:rPr>
                <w:rFonts w:ascii="Arial" w:cs="Arial" w:eastAsia="Arial" w:hAnsi="Arial"/>
                <w:sz w:val="18"/>
                <w:szCs w:val="18"/>
                <w:color w:val="auto"/>
              </w:rPr>
              <w:t>Consent of Disclosure Law Group, a Professional Corporation (included in Exhibit 5.1)</w:t>
            </w:r>
          </w:p>
        </w:tc>
        <w:tc>
          <w:tcPr>
            <w:tcW w:w="0" w:type="dxa"/>
            <w:vAlign w:val="bottom"/>
          </w:tcPr>
          <w:p>
            <w:pPr>
              <w:spacing w:after="0"/>
              <w:rPr>
                <w:sz w:val="1"/>
                <w:szCs w:val="1"/>
                <w:color w:val="auto"/>
              </w:rPr>
            </w:pPr>
          </w:p>
        </w:tc>
      </w:tr>
      <w:tr>
        <w:trPr>
          <w:trHeight w:val="1756"/>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19"/>
                <w:szCs w:val="19"/>
                <w:color w:val="auto"/>
              </w:rPr>
            </w:pPr>
          </w:p>
        </w:tc>
        <w:tc>
          <w:tcPr>
            <w:tcW w:w="7840" w:type="dxa"/>
            <w:vAlign w:val="bottom"/>
            <w:gridSpan w:val="3"/>
          </w:tcPr>
          <w:p>
            <w:pPr>
              <w:ind w:left="1920"/>
              <w:spacing w:after="0"/>
              <w:rPr>
                <w:sz w:val="20"/>
                <w:szCs w:val="20"/>
                <w:color w:val="auto"/>
              </w:rPr>
            </w:pPr>
            <w:r>
              <w:rPr>
                <w:rFonts w:ascii="Arial" w:cs="Arial" w:eastAsia="Arial" w:hAnsi="Arial"/>
                <w:sz w:val="18"/>
                <w:szCs w:val="18"/>
                <w:color w:val="auto"/>
              </w:rPr>
              <w:t>VistaGen Therapeutics, Inc.</w:t>
            </w:r>
          </w:p>
        </w:tc>
      </w:tr>
      <w:tr>
        <w:trPr>
          <w:trHeight w:val="394"/>
        </w:trPr>
        <w:tc>
          <w:tcPr>
            <w:tcW w:w="3580" w:type="dxa"/>
            <w:vAlign w:val="bottom"/>
          </w:tcPr>
          <w:p>
            <w:pPr>
              <w:ind w:left="60"/>
              <w:spacing w:after="0"/>
              <w:rPr>
                <w:sz w:val="20"/>
                <w:szCs w:val="20"/>
                <w:color w:val="auto"/>
              </w:rPr>
            </w:pPr>
            <w:r>
              <w:rPr>
                <w:rFonts w:ascii="Arial" w:cs="Arial" w:eastAsia="Arial" w:hAnsi="Arial"/>
                <w:sz w:val="18"/>
                <w:szCs w:val="18"/>
                <w:color w:val="auto"/>
              </w:rPr>
              <w:t>Date: January 24,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c>
          <w:tcPr>
            <w:tcW w:w="3680" w:type="dxa"/>
            <w:vAlign w:val="bottom"/>
          </w:tcPr>
          <w:p>
            <w:pPr>
              <w:spacing w:after="0"/>
              <w:rPr>
                <w:sz w:val="24"/>
                <w:szCs w:val="24"/>
                <w:color w:val="auto"/>
              </w:rPr>
            </w:pPr>
          </w:p>
        </w:tc>
      </w:tr>
      <w:tr>
        <w:trPr>
          <w:trHeight w:val="228"/>
        </w:trPr>
        <w:tc>
          <w:tcPr>
            <w:tcW w:w="3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22"/>
        </w:trPr>
        <w:tc>
          <w:tcPr>
            <w:tcW w:w="3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1089"/>
        </w:trPr>
        <w:tc>
          <w:tcPr>
            <w:tcW w:w="3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289560</wp:posOffset>
            </wp:positionV>
            <wp:extent cx="1689735" cy="136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January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94090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You have requested our opinion, as counsel to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with respect to certain matters in connection with the offering by the Company of 3,870,077 shares of its common stock, par value $0.001 (the “</w:t>
      </w:r>
      <w:r>
        <w:rPr>
          <w:rFonts w:ascii="Arial" w:cs="Arial" w:eastAsia="Arial" w:hAnsi="Arial"/>
          <w:sz w:val="16"/>
          <w:szCs w:val="16"/>
          <w:i w:val="1"/>
          <w:iCs w:val="1"/>
          <w:color w:val="auto"/>
        </w:rPr>
        <w:t>Shares</w:t>
      </w:r>
      <w:r>
        <w:rPr>
          <w:rFonts w:ascii="Arial" w:cs="Arial" w:eastAsia="Arial" w:hAnsi="Arial"/>
          <w:sz w:val="16"/>
          <w:szCs w:val="16"/>
          <w:color w:val="auto"/>
        </w:rPr>
        <w:t>”), pursuant to the Registration Statement on Form S-3 (No. 333-234025)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under the Securities Act of 1933 (the “</w:t>
      </w:r>
      <w:r>
        <w:rPr>
          <w:rFonts w:ascii="Arial" w:cs="Arial" w:eastAsia="Arial" w:hAnsi="Arial"/>
          <w:sz w:val="16"/>
          <w:szCs w:val="16"/>
          <w:i w:val="1"/>
          <w:iCs w:val="1"/>
          <w:color w:val="auto"/>
        </w:rPr>
        <w:t>Act</w:t>
      </w:r>
      <w:r>
        <w:rPr>
          <w:rFonts w:ascii="Arial" w:cs="Arial" w:eastAsia="Arial" w:hAnsi="Arial"/>
          <w:sz w:val="16"/>
          <w:szCs w:val="16"/>
          <w:color w:val="auto"/>
        </w:rPr>
        <w:t>”), the prospectus included within the Registration Statement declared effective October 7, 2019 (the “</w:t>
      </w:r>
      <w:r>
        <w:rPr>
          <w:rFonts w:ascii="Arial" w:cs="Arial" w:eastAsia="Arial" w:hAnsi="Arial"/>
          <w:sz w:val="16"/>
          <w:szCs w:val="16"/>
          <w:i w:val="1"/>
          <w:iCs w:val="1"/>
          <w:color w:val="auto"/>
        </w:rPr>
        <w:t>Base Prospectus</w:t>
      </w:r>
      <w:r>
        <w:rPr>
          <w:rFonts w:ascii="Arial" w:cs="Arial" w:eastAsia="Arial" w:hAnsi="Arial"/>
          <w:sz w:val="16"/>
          <w:szCs w:val="16"/>
          <w:color w:val="auto"/>
        </w:rPr>
        <w:t>”) and the prospectus supplement dated January 24, 2020 filed with the Commission pursuant to Rule 424(b) of the Rules and Regulations of the Act (the “</w:t>
      </w:r>
      <w:r>
        <w:rPr>
          <w:rFonts w:ascii="Arial" w:cs="Arial" w:eastAsia="Arial" w:hAnsi="Arial"/>
          <w:sz w:val="16"/>
          <w:szCs w:val="16"/>
          <w:i w:val="1"/>
          <w:iCs w:val="1"/>
          <w:color w:val="auto"/>
        </w:rPr>
        <w:t>Prospectus Supplement</w:t>
      </w:r>
      <w:r>
        <w:rPr>
          <w:rFonts w:ascii="Arial" w:cs="Arial" w:eastAsia="Arial" w:hAnsi="Arial"/>
          <w:sz w:val="16"/>
          <w:szCs w:val="16"/>
          <w:color w:val="auto"/>
        </w:rPr>
        <w:t>”) (the Base Prospectus and Prospectus Supplement are collectively referred to as the “</w:t>
      </w:r>
      <w:r>
        <w:rPr>
          <w:rFonts w:ascii="Arial" w:cs="Arial" w:eastAsia="Arial" w:hAnsi="Arial"/>
          <w:sz w:val="16"/>
          <w:szCs w:val="16"/>
          <w:i w:val="1"/>
          <w:iCs w:val="1"/>
          <w:color w:val="auto"/>
        </w:rPr>
        <w:t>Prospectus</w:t>
      </w:r>
      <w:r>
        <w:rPr>
          <w:rFonts w:ascii="Arial" w:cs="Arial" w:eastAsia="Arial" w:hAnsi="Arial"/>
          <w:sz w:val="16"/>
          <w:szCs w:val="16"/>
          <w:color w:val="auto"/>
        </w:rPr>
        <w:t>”). The Shares are to be sold by the Company as described in the Registration Statement and the Prospectus.</w:t>
      </w:r>
    </w:p>
    <w:p>
      <w:pPr>
        <w:spacing w:after="0" w:line="17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We have examined and relied upon the Registration Statement and the Prospectus, the Company’s Amended and Restated Certificate of Incorporation and Bylaws, as currently in effect, and the originals or copies certified to our satisfaction of such records, documents, certificates, memoranda and other instruments as we have deemed relevant in connection with this opinion. We have assumed the genuineness and authenticity of all documents submitted to us as originals, the conformity to originals of all documents submitted to us as copies, and the accuracy, completeness and authenticity of certificates of public officials.</w:t>
      </w:r>
    </w:p>
    <w:p>
      <w:pPr>
        <w:spacing w:after="0" w:line="1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opinions set forth in this letter are limited to the Nevada Revised States and the law of the State of California, in each case as in effect on the date hereof. We are not rendering any opinion as to compliance with any federal or state antifraud law, rule or regulation relating to securities or to the sale or issuance thereof. On the basis of the foregoing, and in reliance thereon, and subject to the qualifications herein stated, we are of the opinion that the Shares have been duly authorized by all necessary corporate action on the part of the Company and when sold, issued and delivered against payment therefor as described in the Registration Statement and the Prospectus, will be validly issued, fully paid and non-assessable.</w:t>
      </w:r>
    </w:p>
    <w:p>
      <w:pPr>
        <w:spacing w:after="0" w:line="17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consent to the reference to our firm under the caption “</w:t>
      </w:r>
      <w:r>
        <w:rPr>
          <w:rFonts w:ascii="Arial" w:cs="Arial" w:eastAsia="Arial" w:hAnsi="Arial"/>
          <w:sz w:val="16"/>
          <w:szCs w:val="16"/>
          <w:i w:val="1"/>
          <w:iCs w:val="1"/>
          <w:color w:val="auto"/>
        </w:rPr>
        <w:t>Legal Matters</w:t>
      </w:r>
      <w:r>
        <w:rPr>
          <w:rFonts w:ascii="Arial" w:cs="Arial" w:eastAsia="Arial" w:hAnsi="Arial"/>
          <w:sz w:val="16"/>
          <w:szCs w:val="16"/>
          <w:color w:val="auto"/>
        </w:rPr>
        <w:t>” in the Prospectus and to the filing of this opinion as an exhibit to a Current Report on Form 8-K to be filed with the Commission for incorporation by reference into the Registration Statement. In giving this consent, we do not admit that we are “experts” within the meaning of Section 11 of the Act or within the category of persons whose consent is required by Section 7 of the Securities Act.</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/s/ Disclosure Law Group</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January 24, 2020, is by and among VistaGen Therapeutics, Inc., a Nevada corporation with headquarters located at 343 Allerton Avenue, Suite B, San Diego, CA 92121 (the ”</w:t>
      </w:r>
      <w:r>
        <w:rPr>
          <w:rFonts w:ascii="Arial" w:cs="Arial" w:eastAsia="Arial" w:hAnsi="Arial"/>
          <w:sz w:val="18"/>
          <w:szCs w:val="18"/>
          <w:b w:val="1"/>
          <w:bCs w:val="1"/>
          <w:color w:val="auto"/>
        </w:rPr>
        <w:t>Company</w:t>
      </w:r>
      <w:r>
        <w:rPr>
          <w:rFonts w:ascii="Arial" w:cs="Arial" w:eastAsia="Arial" w:hAnsi="Arial"/>
          <w:sz w:val="18"/>
          <w:szCs w:val="18"/>
          <w:color w:val="auto"/>
        </w:rPr>
        <w:t>”), Lincoln Park Capital Fund, LLC, an Illinois limited liability company ( “</w:t>
      </w:r>
      <w:r>
        <w:rPr>
          <w:rFonts w:ascii="Arial" w:cs="Arial" w:eastAsia="Arial" w:hAnsi="Arial"/>
          <w:sz w:val="18"/>
          <w:szCs w:val="18"/>
          <w:b w:val="1"/>
          <w:bCs w:val="1"/>
          <w:color w:val="auto"/>
        </w:rPr>
        <w:t>Lead Buyer</w:t>
      </w:r>
      <w:r>
        <w:rPr>
          <w:rFonts w:ascii="Arial" w:cs="Arial" w:eastAsia="Arial" w:hAnsi="Arial"/>
          <w:sz w:val="18"/>
          <w:szCs w:val="18"/>
          <w:color w:val="auto"/>
        </w:rPr>
        <w:t>”) and each buyer identified on the signature pages hereto (each, including its successors and assigns, a “</w:t>
      </w:r>
      <w:r>
        <w:rPr>
          <w:rFonts w:ascii="Arial" w:cs="Arial" w:eastAsia="Arial" w:hAnsi="Arial"/>
          <w:sz w:val="18"/>
          <w:szCs w:val="18"/>
          <w:b w:val="1"/>
          <w:bCs w:val="1"/>
          <w:color w:val="auto"/>
        </w:rPr>
        <w:t>Buyer</w:t>
      </w:r>
      <w:r>
        <w:rPr>
          <w:rFonts w:ascii="Arial" w:cs="Arial" w:eastAsia="Arial" w:hAnsi="Arial"/>
          <w:sz w:val="18"/>
          <w:szCs w:val="18"/>
          <w:color w:val="auto"/>
        </w:rPr>
        <w:t>” and collectively the “</w:t>
      </w:r>
      <w:r>
        <w:rPr>
          <w:rFonts w:ascii="Arial" w:cs="Arial" w:eastAsia="Arial" w:hAnsi="Arial"/>
          <w:sz w:val="18"/>
          <w:szCs w:val="18"/>
          <w:b w:val="1"/>
          <w:bCs w:val="1"/>
          <w:color w:val="auto"/>
        </w:rPr>
        <w:t>Buyers</w:t>
      </w:r>
      <w:r>
        <w:rPr>
          <w:rFonts w:ascii="Arial" w:cs="Arial" w:eastAsia="Arial" w:hAnsi="Arial"/>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w:t>
      </w:r>
    </w:p>
    <w:p>
      <w:pPr>
        <w:spacing w:after="0" w:line="1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Buyers wish to purchase, and the Company wishes to sell, upon the terms and subject conditions stated in this Agreement, up to (i) 3,870,077 shares of Common Stock (as defined herein) (collectively, the “</w:t>
      </w:r>
      <w:r>
        <w:rPr>
          <w:rFonts w:ascii="Arial" w:cs="Arial" w:eastAsia="Arial" w:hAnsi="Arial"/>
          <w:sz w:val="16"/>
          <w:szCs w:val="16"/>
          <w:b w:val="1"/>
          <w:bCs w:val="1"/>
          <w:color w:val="auto"/>
        </w:rPr>
        <w:t>Common Shares</w:t>
      </w:r>
      <w:r>
        <w:rPr>
          <w:rFonts w:ascii="Arial" w:cs="Arial" w:eastAsia="Arial" w:hAnsi="Arial"/>
          <w:sz w:val="16"/>
          <w:szCs w:val="16"/>
          <w:color w:val="auto"/>
        </w:rPr>
        <w:t>”) pursuant to the Company’s shelf registration statement on Form S-3 (Registration Number 333-234025)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has been declared effective in accordance with the Securities Act of 1933, as amended (the “</w:t>
      </w:r>
      <w:r>
        <w:rPr>
          <w:rFonts w:ascii="Arial" w:cs="Arial" w:eastAsia="Arial" w:hAnsi="Arial"/>
          <w:sz w:val="16"/>
          <w:szCs w:val="16"/>
          <w:b w:val="1"/>
          <w:bCs w:val="1"/>
          <w:color w:val="auto"/>
        </w:rPr>
        <w:t>1933</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by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and (ii) warrants, in the form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Warrant</w:t>
      </w:r>
      <w:r>
        <w:rPr>
          <w:rFonts w:ascii="Arial" w:cs="Arial" w:eastAsia="Arial" w:hAnsi="Arial"/>
          <w:sz w:val="16"/>
          <w:szCs w:val="16"/>
          <w:color w:val="auto"/>
        </w:rPr>
        <w:t>”), to</w:t>
      </w:r>
      <w:r>
        <w:rPr>
          <w:rFonts w:ascii="Arial" w:cs="Arial" w:eastAsia="Arial" w:hAnsi="Arial"/>
          <w:sz w:val="16"/>
          <w:szCs w:val="16"/>
          <w:b w:val="1"/>
          <w:bCs w:val="1"/>
          <w:color w:val="auto"/>
        </w:rPr>
        <w:t xml:space="preserve"> </w:t>
      </w:r>
      <w:r>
        <w:rPr>
          <w:rFonts w:ascii="Arial" w:cs="Arial" w:eastAsia="Arial" w:hAnsi="Arial"/>
          <w:sz w:val="16"/>
          <w:szCs w:val="16"/>
          <w:color w:val="auto"/>
        </w:rPr>
        <w:t>initially purchase an aggregate of up to 3,870,077 shares of Common Stock (collectively, the “</w:t>
      </w:r>
      <w:r>
        <w:rPr>
          <w:rFonts w:ascii="Arial" w:cs="Arial" w:eastAsia="Arial" w:hAnsi="Arial"/>
          <w:sz w:val="16"/>
          <w:szCs w:val="16"/>
          <w:b w:val="1"/>
          <w:bCs w:val="1"/>
          <w:color w:val="auto"/>
        </w:rPr>
        <w:t>Warrant Shares</w:t>
      </w:r>
      <w:r>
        <w:rPr>
          <w:rFonts w:ascii="Arial" w:cs="Arial" w:eastAsia="Arial" w:hAnsi="Arial"/>
          <w:sz w:val="16"/>
          <w:szCs w:val="16"/>
          <w:color w:val="auto"/>
        </w:rPr>
        <w:t>”, and together with the Warrant, the “</w:t>
      </w:r>
      <w:r>
        <w:rPr>
          <w:rFonts w:ascii="Arial" w:cs="Arial" w:eastAsia="Arial" w:hAnsi="Arial"/>
          <w:sz w:val="16"/>
          <w:szCs w:val="16"/>
          <w:b w:val="1"/>
          <w:bCs w:val="1"/>
          <w:color w:val="auto"/>
        </w:rPr>
        <w:t>Securities</w:t>
      </w:r>
      <w:r>
        <w:rPr>
          <w:rFonts w:ascii="Arial" w:cs="Arial" w:eastAsia="Arial" w:hAnsi="Arial"/>
          <w:sz w:val="16"/>
          <w:szCs w:val="16"/>
          <w:color w:val="auto"/>
        </w:rPr>
        <w:t>”), at an exercise price of $0.73 per share, in reliance upon the exemption from securities registration afforded by Section 4(a)(2) of the 1933 Act, and Rule 506(b) of Regulation D (“</w:t>
      </w:r>
      <w:r>
        <w:rPr>
          <w:rFonts w:ascii="Arial" w:cs="Arial" w:eastAsia="Arial" w:hAnsi="Arial"/>
          <w:sz w:val="16"/>
          <w:szCs w:val="16"/>
          <w:b w:val="1"/>
          <w:bCs w:val="1"/>
          <w:color w:val="auto"/>
        </w:rPr>
        <w:t>Regulation D</w:t>
      </w:r>
      <w:r>
        <w:rPr>
          <w:rFonts w:ascii="Arial" w:cs="Arial" w:eastAsia="Arial" w:hAnsi="Arial"/>
          <w:sz w:val="16"/>
          <w:szCs w:val="16"/>
          <w:color w:val="auto"/>
        </w:rPr>
        <w:t>”) as promulgated by the SEC under the 1933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1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COMMON SHARES AND WARRANTS.</w:t>
      </w:r>
    </w:p>
    <w:p>
      <w:pPr>
        <w:spacing w:after="0" w:line="190" w:lineRule="exact"/>
        <w:rPr>
          <w:rFonts w:ascii="Arial" w:cs="Arial" w:eastAsia="Arial" w:hAnsi="Arial"/>
          <w:sz w:val="18"/>
          <w:szCs w:val="18"/>
          <w:b w:val="1"/>
          <w:bCs w:val="1"/>
          <w:color w:val="auto"/>
        </w:rPr>
      </w:pPr>
    </w:p>
    <w:p>
      <w:pPr>
        <w:jc w:val="both"/>
        <w:ind w:firstLine="656"/>
        <w:spacing w:after="0" w:line="335" w:lineRule="auto"/>
        <w:tabs>
          <w:tab w:leader="none" w:pos="1073" w:val="left"/>
        </w:tabs>
        <w:numPr>
          <w:ilvl w:val="1"/>
          <w:numId w:val="2"/>
        </w:numPr>
        <w:rPr>
          <w:rFonts w:ascii="Arial" w:cs="Arial" w:eastAsia="Arial" w:hAnsi="Arial"/>
          <w:sz w:val="15"/>
          <w:szCs w:val="15"/>
          <w:color w:val="auto"/>
        </w:rPr>
      </w:pPr>
      <w:r>
        <w:rPr>
          <w:rFonts w:ascii="Arial" w:cs="Arial" w:eastAsia="Arial" w:hAnsi="Arial"/>
          <w:sz w:val="15"/>
          <w:szCs w:val="15"/>
          <w:u w:val="single" w:color="auto"/>
          <w:color w:val="auto"/>
        </w:rPr>
        <w:t>Purchase of Common Shares and Warrants</w:t>
      </w:r>
      <w:r>
        <w:rPr>
          <w:rFonts w:ascii="Arial" w:cs="Arial" w:eastAsia="Arial" w:hAnsi="Arial"/>
          <w:sz w:val="15"/>
          <w:szCs w:val="15"/>
          <w:color w:val="auto"/>
        </w:rPr>
        <w:t>. Subject to the satisfaction (or waiver) of the conditions set forth in Sections 6 and 7 below, the Company shall issue and sell to each Buyer, and each Buyer agrees to purchase from the Company on the Closing Date (as defined below), that number of Common Shares, and a Warrant to initially acquire that number of Warrant Shares, each as set forth opposite such Buyer’s signature on the signature page hereto.</w:t>
      </w:r>
    </w:p>
    <w:p>
      <w:pPr>
        <w:spacing w:after="0" w:line="95" w:lineRule="exact"/>
        <w:rPr>
          <w:rFonts w:ascii="Arial" w:cs="Arial" w:eastAsia="Arial" w:hAnsi="Arial"/>
          <w:sz w:val="15"/>
          <w:szCs w:val="15"/>
          <w:color w:val="auto"/>
        </w:rPr>
      </w:pPr>
    </w:p>
    <w:p>
      <w:pPr>
        <w:jc w:val="both"/>
        <w:ind w:firstLine="656"/>
        <w:spacing w:after="0" w:line="296" w:lineRule="auto"/>
        <w:tabs>
          <w:tab w:leader="none" w:pos="1069"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The closing (the “</w:t>
      </w:r>
      <w:r>
        <w:rPr>
          <w:rFonts w:ascii="Arial" w:cs="Arial" w:eastAsia="Arial" w:hAnsi="Arial"/>
          <w:sz w:val="16"/>
          <w:szCs w:val="16"/>
          <w:b w:val="1"/>
          <w:bCs w:val="1"/>
          <w:color w:val="auto"/>
        </w:rPr>
        <w:t>Closing</w:t>
      </w:r>
      <w:r>
        <w:rPr>
          <w:rFonts w:ascii="Arial" w:cs="Arial" w:eastAsia="Arial" w:hAnsi="Arial"/>
          <w:sz w:val="16"/>
          <w:szCs w:val="16"/>
          <w:color w:val="auto"/>
        </w:rPr>
        <w:t>”) of the purchase of the Common Shares and the Warrants shall occur at the offices of K&amp;L Gates, LLP, 200 S. Biscayne Blvd., Ste 3900, Miami, FL 33131. The date and time of the Closing (the “</w:t>
      </w:r>
      <w:r>
        <w:rPr>
          <w:rFonts w:ascii="Arial" w:cs="Arial" w:eastAsia="Arial" w:hAnsi="Arial"/>
          <w:sz w:val="16"/>
          <w:szCs w:val="16"/>
          <w:b w:val="1"/>
          <w:bCs w:val="1"/>
          <w:color w:val="auto"/>
        </w:rPr>
        <w:t>Closing Date</w:t>
      </w:r>
      <w:r>
        <w:rPr>
          <w:rFonts w:ascii="Arial" w:cs="Arial" w:eastAsia="Arial" w:hAnsi="Arial"/>
          <w:sz w:val="16"/>
          <w:szCs w:val="16"/>
          <w:color w:val="auto"/>
        </w:rPr>
        <w:t>”) shall be 10:00 a.m., New York time, on the first (1st) Business Day (as defined below) on which the conditions to the Closing set forth in Sections 6 and 7 below are satisfied or waived (or such other date as is mutually agreed to by the Company and the Buyers). As used herein “</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Saturday, Sunday or other day on which commercial banks in New York, New York are authorized or required by law to remain closed.</w:t>
      </w:r>
    </w:p>
    <w:p>
      <w:pPr>
        <w:spacing w:after="0" w:line="127" w:lineRule="exact"/>
        <w:rPr>
          <w:rFonts w:ascii="Arial" w:cs="Arial" w:eastAsia="Arial" w:hAnsi="Arial"/>
          <w:sz w:val="16"/>
          <w:szCs w:val="16"/>
          <w:color w:val="auto"/>
        </w:rPr>
      </w:pPr>
    </w:p>
    <w:p>
      <w:pPr>
        <w:ind w:firstLine="656"/>
        <w:spacing w:after="0" w:line="332" w:lineRule="auto"/>
        <w:tabs>
          <w:tab w:leader="none" w:pos="1059"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The aggregate gross purchase price for the Common Shares and the Warrants to be purchased by each Buyer hereunder shall be set forth opposite each Buyer’s signature on the signature page attached hereto (with respect to each Buyer,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both"/>
        <w:ind w:firstLine="656"/>
        <w:spacing w:after="0" w:line="290" w:lineRule="auto"/>
        <w:tabs>
          <w:tab w:leader="none" w:pos="1069"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Form of Payment; Deliveries</w:t>
      </w:r>
      <w:r>
        <w:rPr>
          <w:rFonts w:ascii="Arial" w:cs="Arial" w:eastAsia="Arial" w:hAnsi="Arial"/>
          <w:sz w:val="16"/>
          <w:szCs w:val="16"/>
          <w:color w:val="auto"/>
        </w:rPr>
        <w:t>. On the Closing Date, (i) each Buyer shall pay the Purchase Price to the Company for the Common Shares and the Warrants to be issued and sold to each such Buyer at the Closing, by wire transfer of immediately available funds in accordance with the Flow of Funds Letter (as defined below), and (ii) the Company shall (A) cause Computershare Trust Company, N.A. (together with any subsequent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through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to credit each Buyer or its designee’s balance account with DTC through its Deposit/Withdrawal at Custodian system the Common Shares purchased set forth opposite each Buyer’s signature on the signature page attached hereto, and (B) deliver to each Buyer the Warrant pursuant to which each such Buyer shall have the right to initially acquire the Warrant Shares set forth opposite each Buyer’s signature on the signature page attached hereto, duly executed on behalf of the Company and registered in the name of the Buyer or its designee.</w:t>
      </w:r>
    </w:p>
    <w:p>
      <w:pPr>
        <w:spacing w:after="0" w:line="98" w:lineRule="exact"/>
        <w:rPr>
          <w:rFonts w:ascii="Arial" w:cs="Arial" w:eastAsia="Arial" w:hAnsi="Arial"/>
          <w:sz w:val="16"/>
          <w:szCs w:val="16"/>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REPRESENTATIONS AND WARRANTIES.</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Each Buyer represents and warrants to the Company severally, and not jointly, that, as of the date hereof and as of the Closing Date:</w:t>
      </w:r>
    </w:p>
    <w:p>
      <w:pPr>
        <w:spacing w:after="0" w:line="184" w:lineRule="exact"/>
        <w:rPr>
          <w:rFonts w:ascii="Arial" w:cs="Arial" w:eastAsia="Arial" w:hAnsi="Arial"/>
          <w:sz w:val="18"/>
          <w:szCs w:val="18"/>
          <w:b w:val="1"/>
          <w:bCs w:val="1"/>
          <w:color w:val="auto"/>
        </w:rPr>
      </w:pPr>
    </w:p>
    <w:p>
      <w:pPr>
        <w:jc w:val="both"/>
        <w:ind w:firstLine="656"/>
        <w:spacing w:after="0" w:line="259" w:lineRule="auto"/>
        <w:tabs>
          <w:tab w:leader="none" w:pos="1073"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The Buyer is an entity duly organized, validly existing and in good standing under the laws of the jurisdiction of its organization with the requisite power and authority to enter into and to consummate the transactions contemplated by this Agreement and otherwise to carry out its obligations hereunder.</w:t>
      </w:r>
    </w:p>
    <w:p>
      <w:pPr>
        <w:spacing w:after="0" w:line="153" w:lineRule="exact"/>
        <w:rPr>
          <w:rFonts w:ascii="Arial" w:cs="Arial" w:eastAsia="Arial" w:hAnsi="Arial"/>
          <w:sz w:val="18"/>
          <w:szCs w:val="18"/>
          <w:color w:val="auto"/>
        </w:rPr>
      </w:pPr>
    </w:p>
    <w:p>
      <w:pPr>
        <w:jc w:val="both"/>
        <w:ind w:firstLine="656"/>
        <w:spacing w:after="0" w:line="256" w:lineRule="auto"/>
        <w:tabs>
          <w:tab w:leader="none" w:pos="1069"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Validity; Enforcement</w:t>
      </w:r>
      <w:r>
        <w:rPr>
          <w:rFonts w:ascii="Arial" w:cs="Arial" w:eastAsia="Arial" w:hAnsi="Arial"/>
          <w:sz w:val="18"/>
          <w:szCs w:val="18"/>
          <w:color w:val="auto"/>
        </w:rPr>
        <w:t>. This Agreement has been duly and validly authorized, executed and delivered on behalf of the Buyer and shall constitute the legal, valid and binding obligations of the Buyer enforceable against the Buyer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56" w:lineRule="exact"/>
        <w:rPr>
          <w:rFonts w:ascii="Arial" w:cs="Arial" w:eastAsia="Arial" w:hAnsi="Arial"/>
          <w:sz w:val="18"/>
          <w:szCs w:val="18"/>
          <w:color w:val="auto"/>
        </w:rPr>
      </w:pPr>
    </w:p>
    <w:p>
      <w:pPr>
        <w:jc w:val="both"/>
        <w:ind w:firstLine="656"/>
        <w:spacing w:after="0" w:line="291" w:lineRule="auto"/>
        <w:tabs>
          <w:tab w:leader="none" w:pos="1059"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No Public Sale or Distribution of Securities</w:t>
      </w:r>
      <w:r>
        <w:rPr>
          <w:rFonts w:ascii="Arial" w:cs="Arial" w:eastAsia="Arial" w:hAnsi="Arial"/>
          <w:sz w:val="16"/>
          <w:szCs w:val="16"/>
          <w:color w:val="auto"/>
        </w:rPr>
        <w:t>. The Buyer is acquiring the Securities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the Buyer does not agree, or make any representation or warranty, to hold any of the Securities for any minimum or other specific term and reserves the right to dispose of the Securities at any time in accordance with or pursuant to a registration statement or an exemption under the 1933 Act. The Buyer is acquiring the Securities hereunder in the ordinary course of its business. The Buyer does not presently have any agreement or understanding, directly or indirectly, with any Person to distribute any of the Securities in violation of applicable securities laws.</w:t>
      </w:r>
    </w:p>
    <w:p>
      <w:pPr>
        <w:spacing w:after="0" w:line="133" w:lineRule="exact"/>
        <w:rPr>
          <w:rFonts w:ascii="Arial" w:cs="Arial" w:eastAsia="Arial" w:hAnsi="Arial"/>
          <w:sz w:val="16"/>
          <w:szCs w:val="16"/>
          <w:color w:val="auto"/>
        </w:rPr>
      </w:pPr>
    </w:p>
    <w:p>
      <w:pPr>
        <w:ind w:firstLine="656"/>
        <w:spacing w:after="0" w:line="268" w:lineRule="auto"/>
        <w:tabs>
          <w:tab w:leader="none" w:pos="1083"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At the time the Buyer was offered the Securities, it was, and as of the date hereof it is, an “accredited investor” as defined in Rule 501(a)(1), (a)(2), (a)(3), (a)(7) or (a)(8) under the 1933 Act.</w:t>
      </w:r>
    </w:p>
    <w:p>
      <w:pPr>
        <w:spacing w:after="0" w:line="145" w:lineRule="exact"/>
        <w:rPr>
          <w:rFonts w:ascii="Arial" w:cs="Arial" w:eastAsia="Arial" w:hAnsi="Arial"/>
          <w:sz w:val="18"/>
          <w:szCs w:val="18"/>
          <w:color w:val="auto"/>
        </w:rPr>
      </w:pPr>
    </w:p>
    <w:p>
      <w:pPr>
        <w:jc w:val="both"/>
        <w:ind w:firstLine="656"/>
        <w:spacing w:after="0" w:line="256" w:lineRule="auto"/>
        <w:tabs>
          <w:tab w:leader="none" w:pos="1059"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Experience of Buyer</w:t>
      </w:r>
      <w:r>
        <w:rPr>
          <w:rFonts w:ascii="Arial" w:cs="Arial" w:eastAsia="Arial" w:hAnsi="Arial"/>
          <w:sz w:val="18"/>
          <w:szCs w:val="18"/>
          <w:color w:val="auto"/>
        </w:rPr>
        <w:t>. The Buyer,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Buyer is able to bear the economic risk of an investment in the Securities and, at the present time, is able to afford a complete loss of such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-2012950</wp:posOffset>
            </wp:positionV>
            <wp:extent cx="279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 w:name="page7"/>
    <w:bookmarkEnd w:id="6"/>
    <w:p>
      <w:pPr>
        <w:jc w:val="both"/>
        <w:ind w:firstLine="656"/>
        <w:spacing w:after="0" w:line="298" w:lineRule="auto"/>
        <w:tabs>
          <w:tab w:leader="none" w:pos="105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Reliance on Exemptions</w:t>
      </w:r>
      <w:r>
        <w:rPr>
          <w:rFonts w:ascii="Arial" w:cs="Arial" w:eastAsia="Arial" w:hAnsi="Arial"/>
          <w:sz w:val="16"/>
          <w:szCs w:val="16"/>
          <w:color w:val="auto"/>
        </w:rPr>
        <w:t>. The Buyer understands that the Warrants are being offered and sold to it in reliance on specific exemptions from the registration requirements of United States federal and state securities laws and that the Company is relying in part upon the truth and accuracy of, and the Buyer’s compliance with, the representations, warranties, agreements, acknowledgments and understandings of the Buyer set forth herein in order to determine the availability of such exemptions and the eligibility of such Buyer to acquire the Securities.</w:t>
      </w:r>
    </w:p>
    <w:p>
      <w:pPr>
        <w:spacing w:after="0" w:line="126" w:lineRule="exact"/>
        <w:rPr>
          <w:rFonts w:ascii="Arial" w:cs="Arial" w:eastAsia="Arial" w:hAnsi="Arial"/>
          <w:sz w:val="16"/>
          <w:szCs w:val="16"/>
          <w:color w:val="auto"/>
        </w:rPr>
      </w:pPr>
    </w:p>
    <w:p>
      <w:pPr>
        <w:jc w:val="both"/>
        <w:ind w:firstLine="656"/>
        <w:spacing w:after="0" w:line="290" w:lineRule="auto"/>
        <w:tabs>
          <w:tab w:leader="none" w:pos="108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The Buyer and its advisors, if any, have been furnished with all materials relating to the business, finances and operations of the Company and materials relating to the offer and sale of the Securities which have been requested by the Buyer. The Buyer and its advisors, if any, have been afforded the opportunity to ask questions of the Company. Neither such inquiries nor any other due diligence investigations conducted by the Buyer or its advisors, if any, or its representatives shall modify, amend or affect the Buyer’s right to rely on the Company’s representations and warranties contained herein or any representations and warranties contained in any other Transaction Document or any other document or instrument executed and/or delivered in connection with this Agreement or the consummation of the transaction contemplated hereby. The Buyer has sought such accounting, legal and tax advice as it has considered necessary to make an informed investment decision with respect to its acquisition of the Securities.</w:t>
      </w:r>
    </w:p>
    <w:p>
      <w:pPr>
        <w:spacing w:after="0" w:line="131" w:lineRule="exact"/>
        <w:rPr>
          <w:rFonts w:ascii="Arial" w:cs="Arial" w:eastAsia="Arial" w:hAnsi="Arial"/>
          <w:sz w:val="16"/>
          <w:szCs w:val="16"/>
          <w:color w:val="auto"/>
        </w:rPr>
      </w:pPr>
    </w:p>
    <w:p>
      <w:pPr>
        <w:jc w:val="both"/>
        <w:ind w:firstLine="656"/>
        <w:spacing w:after="0" w:line="259" w:lineRule="auto"/>
        <w:tabs>
          <w:tab w:leader="none" w:pos="106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The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53" w:lineRule="exact"/>
        <w:rPr>
          <w:rFonts w:ascii="Arial" w:cs="Arial" w:eastAsia="Arial" w:hAnsi="Arial"/>
          <w:sz w:val="18"/>
          <w:szCs w:val="18"/>
          <w:color w:val="auto"/>
        </w:rPr>
      </w:pPr>
    </w:p>
    <w:p>
      <w:pPr>
        <w:jc w:val="both"/>
        <w:ind w:firstLine="656"/>
        <w:spacing w:after="0" w:line="286" w:lineRule="auto"/>
        <w:tabs>
          <w:tab w:leader="none" w:pos="103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Transfer or Resale</w:t>
      </w:r>
      <w:r>
        <w:rPr>
          <w:rFonts w:ascii="Arial" w:cs="Arial" w:eastAsia="Arial" w:hAnsi="Arial"/>
          <w:sz w:val="16"/>
          <w:szCs w:val="16"/>
          <w:color w:val="auto"/>
        </w:rPr>
        <w:t>. The Buyer understands: (i) the Warrants have not been and are not being registered under the 1933 Act or any state securities laws, and may not be offered for sale, sold, assigned or transferred unless (A) subsequently registered thereunder, (B) the Buyer shall have delivered to the Company (if requested by the Company) an opinion of counsel to the Buyer, in a form reasonably acceptable to the Company, to the effect that the Warrant or the Warrant Shares to be sold, assigned or transferred may be sold, assigned or transferred pursuant to an exemption from such registration, or (C) the Buyer provides the Company with reasonable assurance that the Warrant or Warrant Shares can be sold, assigned or transferred pursuant to Rule 144 or Rule 144A promulgated under the 1933 Act (or a successor rule thereto) (collectively, “</w:t>
      </w:r>
      <w:r>
        <w:rPr>
          <w:rFonts w:ascii="Arial" w:cs="Arial" w:eastAsia="Arial" w:hAnsi="Arial"/>
          <w:sz w:val="16"/>
          <w:szCs w:val="16"/>
          <w:b w:val="1"/>
          <w:bCs w:val="1"/>
          <w:color w:val="auto"/>
        </w:rPr>
        <w:t>Rule 144</w:t>
      </w:r>
      <w:r>
        <w:rPr>
          <w:rFonts w:ascii="Arial" w:cs="Arial" w:eastAsia="Arial" w:hAnsi="Arial"/>
          <w:sz w:val="16"/>
          <w:szCs w:val="16"/>
          <w:color w:val="auto"/>
        </w:rPr>
        <w:t>”); (ii) any sale of the Warrant or Warrant Shares made in reliance on Rule 144 may be made only in accordance with the terms of Rule 144, and further, if Rule 144 is not applicable, any resale of the Warrant or Warrant Shares under circumstances in which the seller (or the Person (as defined below) through whom the sale is made) may be deemed to be an underwriter (as that term is defined in the 1933 Act) may require compliance with some other exemption under the 1933 Act or the rules and regulations of the SEC promulgated thereunder; and (iii) neither the Company nor any other Person is under any obligation to register the Warrant or any of the Warrant Shares under the 1933 Act or any state securities laws or to comply with the terms and conditions of any exemption thereunder.</w:t>
      </w:r>
    </w:p>
    <w:p>
      <w:pPr>
        <w:spacing w:after="0" w:line="140" w:lineRule="exact"/>
        <w:rPr>
          <w:rFonts w:ascii="Arial" w:cs="Arial" w:eastAsia="Arial" w:hAnsi="Arial"/>
          <w:sz w:val="16"/>
          <w:szCs w:val="16"/>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Residency</w:t>
      </w:r>
      <w:r>
        <w:rPr>
          <w:rFonts w:ascii="Arial" w:cs="Arial" w:eastAsia="Arial" w:hAnsi="Arial"/>
          <w:sz w:val="18"/>
          <w:szCs w:val="18"/>
          <w:color w:val="auto"/>
        </w:rPr>
        <w:t>. The Buyer is a resident of the state set forth opposite such Buyer’s signature on the signature page attached hereto.</w:t>
      </w:r>
    </w:p>
    <w:p>
      <w:pPr>
        <w:spacing w:after="0" w:line="184" w:lineRule="exact"/>
        <w:rPr>
          <w:rFonts w:ascii="Arial" w:cs="Arial" w:eastAsia="Arial" w:hAnsi="Arial"/>
          <w:sz w:val="18"/>
          <w:szCs w:val="18"/>
          <w:color w:val="auto"/>
        </w:rPr>
      </w:pPr>
    </w:p>
    <w:p>
      <w:pPr>
        <w:jc w:val="both"/>
        <w:ind w:firstLine="656"/>
        <w:spacing w:after="0" w:line="256" w:lineRule="auto"/>
        <w:tabs>
          <w:tab w:leader="none" w:pos="106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Certain Trading Activities</w:t>
      </w:r>
      <w:r>
        <w:rPr>
          <w:rFonts w:ascii="Arial" w:cs="Arial" w:eastAsia="Arial" w:hAnsi="Arial"/>
          <w:sz w:val="18"/>
          <w:szCs w:val="18"/>
          <w:color w:val="auto"/>
        </w:rPr>
        <w:t>. The Buyer represents and warrants to the Company that at no time prior to the date of this Agreement has any of the Buyer, its agents, representatives or affiliates engaged in or effected, in any manner whatsoever, directly or indirectly, any (i) “short sale” (as such term is defined in Rule 200 of Regulation SHO of the Securities Exchange Act of 1934, as amended (the “</w:t>
      </w:r>
      <w:r>
        <w:rPr>
          <w:rFonts w:ascii="Arial" w:cs="Arial" w:eastAsia="Arial" w:hAnsi="Arial"/>
          <w:sz w:val="18"/>
          <w:szCs w:val="18"/>
          <w:b w:val="1"/>
          <w:bCs w:val="1"/>
          <w:color w:val="auto"/>
        </w:rPr>
        <w:t>1934 Act</w:t>
      </w:r>
      <w:r>
        <w:rPr>
          <w:rFonts w:ascii="Arial" w:cs="Arial" w:eastAsia="Arial" w:hAnsi="Arial"/>
          <w:sz w:val="18"/>
          <w:szCs w:val="18"/>
          <w:color w:val="auto"/>
        </w:rPr>
        <w:t>”)) of the Common Stock, or (ii) hedging transaction, which establishes a net short position with respect to the Common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ind w:firstLine="656"/>
        <w:spacing w:after="0" w:line="332" w:lineRule="auto"/>
        <w:tabs>
          <w:tab w:leader="none" w:pos="103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General Solicitation</w:t>
      </w:r>
      <w:r>
        <w:rPr>
          <w:rFonts w:ascii="Arial" w:cs="Arial" w:eastAsia="Arial" w:hAnsi="Arial"/>
          <w:sz w:val="16"/>
          <w:szCs w:val="16"/>
          <w:color w:val="auto"/>
        </w:rPr>
        <w:t>. The Buyer is not purchasing the Securities as a result of any advertisement, article, notice or other communication regarding the Securities published in any newspaper, magazine or similar media or broadcast over television or radio or presented at any seminar.</w:t>
      </w:r>
    </w:p>
    <w:p>
      <w:pPr>
        <w:spacing w:after="0" w:line="98" w:lineRule="exact"/>
        <w:rPr>
          <w:rFonts w:ascii="Arial" w:cs="Arial" w:eastAsia="Arial" w:hAnsi="Arial"/>
          <w:sz w:val="16"/>
          <w:szCs w:val="16"/>
          <w:color w:val="auto"/>
        </w:rPr>
      </w:pPr>
    </w:p>
    <w:p>
      <w:pPr>
        <w:jc w:val="both"/>
        <w:ind w:firstLine="656"/>
        <w:spacing w:after="0" w:line="255" w:lineRule="auto"/>
        <w:tabs>
          <w:tab w:leader="none" w:pos="1118"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Manipulation of Price</w:t>
      </w:r>
      <w:r>
        <w:rPr>
          <w:rFonts w:ascii="Arial" w:cs="Arial" w:eastAsia="Arial" w:hAnsi="Arial"/>
          <w:sz w:val="18"/>
          <w:szCs w:val="18"/>
          <w:color w:val="auto"/>
        </w:rPr>
        <w:t>. Since the time that such Buyer was first contacted by the Company or its agent regarding the investment in the Company contemplated herein, the Buyer has not, and, to the knowledge of the Buyer, no Person acting on its behalf has, directly or indirectly, (i) taken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spacing w:after="0" w:line="123"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represents and warrants to each Buyer that, except as set forth in the Disclosure Schedules attached hereto, or as disclosed in the Registration Statement, Prospectus Supplement or SEC Documents, as defined below, the disclosure from which shall be deemed a part hereof and shall qualify any representation or warranty otherwise made herein, as of the date hereof and as of the Closing Date:</w:t>
      </w:r>
    </w:p>
    <w:p>
      <w:pPr>
        <w:spacing w:after="0" w:line="154" w:lineRule="exact"/>
        <w:rPr>
          <w:sz w:val="20"/>
          <w:szCs w:val="20"/>
          <w:color w:val="auto"/>
        </w:rPr>
      </w:pPr>
    </w:p>
    <w:p>
      <w:pPr>
        <w:jc w:val="both"/>
        <w:ind w:firstLine="656"/>
        <w:spacing w:after="0" w:line="285" w:lineRule="auto"/>
        <w:tabs>
          <w:tab w:leader="none" w:pos="107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Transaction Documents (as defined below) or any other agreements or instruments to be entered into in connection herewith or therewith, or (iii) the authority or ability of the Company to perform any of their respective obligations under any of the Transaction Documents. All of the direct and indirect Subsidiaries of the Company are set forth in the SEC Documents.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 “</w:t>
      </w:r>
      <w:r>
        <w:rPr>
          <w:rFonts w:ascii="Arial" w:cs="Arial" w:eastAsia="Arial" w:hAnsi="Arial"/>
          <w:sz w:val="16"/>
          <w:szCs w:val="16"/>
          <w:b w:val="1"/>
          <w:bCs w:val="1"/>
          <w:color w:val="auto"/>
        </w:rPr>
        <w:t>Subsidiaries</w:t>
      </w:r>
      <w:r>
        <w:rPr>
          <w:rFonts w:ascii="Arial" w:cs="Arial" w:eastAsia="Arial" w:hAnsi="Arial"/>
          <w:sz w:val="16"/>
          <w:szCs w:val="16"/>
          <w:color w:val="auto"/>
        </w:rPr>
        <w:t>” means any Person in which the Company, directly or indirectly, (A) owns fifty percent (50%) or more of any of the outstanding capital stock or holds fifty percent (50%) or more of any equity or similar interest of such Person, or (B) controls or operates all or any part of the business, operations or administration of such Person, and each of the foregoing, is individually referred to herein as a “</w:t>
      </w:r>
      <w:r>
        <w:rPr>
          <w:rFonts w:ascii="Arial" w:cs="Arial" w:eastAsia="Arial" w:hAnsi="Arial"/>
          <w:sz w:val="16"/>
          <w:szCs w:val="16"/>
          <w:b w:val="1"/>
          <w:bCs w:val="1"/>
          <w:color w:val="auto"/>
        </w:rPr>
        <w:t>Subsidiary</w:t>
      </w:r>
      <w:r>
        <w:rPr>
          <w:rFonts w:ascii="Arial" w:cs="Arial" w:eastAsia="Arial" w:hAnsi="Arial"/>
          <w:sz w:val="16"/>
          <w:szCs w:val="16"/>
          <w:color w:val="auto"/>
        </w:rPr>
        <w: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jc w:val="both"/>
        <w:ind w:firstLine="656"/>
        <w:spacing w:after="0" w:line="285" w:lineRule="auto"/>
        <w:tabs>
          <w:tab w:leader="none" w:pos="1083"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The Company has the requisite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offer and sale of the Common Shares and the offer and sale of the Securities and the reservation for issuance and issuance of the Warrant Shares issuable upon exercise of the Warrants) have been duly authorized by the Company’s board of directors and (other than (i) the filing with the SEC of the prospectus supplement relating to the offer and sale of the Common Shares pursuant to Rule 424(b) under the 1933 Act (the “</w:t>
      </w:r>
      <w:r>
        <w:rPr>
          <w:rFonts w:ascii="Arial" w:cs="Arial" w:eastAsia="Arial" w:hAnsi="Arial"/>
          <w:sz w:val="16"/>
          <w:szCs w:val="16"/>
          <w:b w:val="1"/>
          <w:bCs w:val="1"/>
          <w:color w:val="auto"/>
        </w:rPr>
        <w:t>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Supplement</w:t>
      </w:r>
      <w:r>
        <w:rPr>
          <w:rFonts w:ascii="Arial" w:cs="Arial" w:eastAsia="Arial" w:hAnsi="Arial"/>
          <w:sz w:val="16"/>
          <w:szCs w:val="16"/>
          <w:color w:val="auto"/>
        </w:rPr>
        <w:t>”) supplementing the base prospectus forming part of the Registration Statement (the “</w:t>
      </w:r>
      <w:r>
        <w:rPr>
          <w:rFonts w:ascii="Arial" w:cs="Arial" w:eastAsia="Arial" w:hAnsi="Arial"/>
          <w:sz w:val="16"/>
          <w:szCs w:val="16"/>
          <w:b w:val="1"/>
          <w:bCs w:val="1"/>
          <w:color w:val="auto"/>
        </w:rPr>
        <w:t>Prospectus</w:t>
      </w:r>
      <w:r>
        <w:rPr>
          <w:rFonts w:ascii="Arial" w:cs="Arial" w:eastAsia="Arial" w:hAnsi="Arial"/>
          <w:sz w:val="16"/>
          <w:szCs w:val="16"/>
          <w:color w:val="auto"/>
        </w:rPr>
        <w:t>”), (ii) the filing of a Form D with the SEC relating</w:t>
      </w:r>
      <w:r>
        <w:rPr>
          <w:rFonts w:ascii="Arial" w:cs="Arial" w:eastAsia="Arial" w:hAnsi="Arial"/>
          <w:sz w:val="16"/>
          <w:szCs w:val="16"/>
          <w:b w:val="1"/>
          <w:bCs w:val="1"/>
          <w:color w:val="auto"/>
        </w:rPr>
        <w:t xml:space="preserve"> </w:t>
      </w:r>
      <w:r>
        <w:rPr>
          <w:rFonts w:ascii="Arial" w:cs="Arial" w:eastAsia="Arial" w:hAnsi="Arial"/>
          <w:sz w:val="16"/>
          <w:szCs w:val="16"/>
          <w:color w:val="auto"/>
        </w:rPr>
        <w:t>to the offer and sale of the Warrants pursuant to Regulation D, (iii) the filing of a Notice of Additional Listing with The Nasdaq Capital Market (the “</w:t>
      </w:r>
      <w:r>
        <w:rPr>
          <w:rFonts w:ascii="Arial" w:cs="Arial" w:eastAsia="Arial" w:hAnsi="Arial"/>
          <w:sz w:val="16"/>
          <w:szCs w:val="16"/>
          <w:b w:val="1"/>
          <w:bCs w:val="1"/>
          <w:color w:val="auto"/>
        </w:rPr>
        <w:t>Principal</w:t>
      </w:r>
      <w:r>
        <w:rPr>
          <w:rFonts w:ascii="Arial" w:cs="Arial" w:eastAsia="Arial" w:hAnsi="Arial"/>
          <w:sz w:val="16"/>
          <w:szCs w:val="16"/>
          <w:color w:val="auto"/>
        </w:rPr>
        <w:t xml:space="preserve"> </w:t>
      </w:r>
      <w:r>
        <w:rPr>
          <w:rFonts w:ascii="Arial" w:cs="Arial" w:eastAsia="Arial" w:hAnsi="Arial"/>
          <w:sz w:val="16"/>
          <w:szCs w:val="16"/>
          <w:b w:val="1"/>
          <w:bCs w:val="1"/>
          <w:color w:val="auto"/>
        </w:rPr>
        <w:t>Market</w:t>
      </w:r>
      <w:r>
        <w:rPr>
          <w:rFonts w:ascii="Arial" w:cs="Arial" w:eastAsia="Arial" w:hAnsi="Arial"/>
          <w:sz w:val="16"/>
          <w:szCs w:val="16"/>
          <w:color w:val="auto"/>
        </w:rPr>
        <w:t>”), and (iv) any other filings as may be required by any state securities authorities, no further filing, consent or authorization is required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its board of directors or its stockholders or other governing body. This Agreement has been, and the other Transaction Documents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Arial" w:cs="Arial" w:eastAsia="Arial" w:hAnsi="Arial"/>
          <w:sz w:val="16"/>
          <w:szCs w:val="16"/>
          <w:b w:val="1"/>
          <w:bCs w:val="1"/>
          <w:color w:val="auto"/>
        </w:rPr>
        <w:t>Transaction Documents</w:t>
      </w:r>
      <w:r>
        <w:rPr>
          <w:rFonts w:ascii="Arial" w:cs="Arial" w:eastAsia="Arial" w:hAnsi="Arial"/>
          <w:sz w:val="16"/>
          <w:szCs w:val="16"/>
          <w:color w:val="auto"/>
        </w:rPr>
        <w:t>” means, collectively, this Agreement, the Warrants,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jc w:val="both"/>
        <w:ind w:firstLine="656"/>
        <w:spacing w:after="0" w:line="302" w:lineRule="auto"/>
        <w:tabs>
          <w:tab w:leader="none" w:pos="1059"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Issuance of Securities; Registration Statement</w:t>
      </w:r>
      <w:r>
        <w:rPr>
          <w:rFonts w:ascii="Arial" w:cs="Arial" w:eastAsia="Arial" w:hAnsi="Arial"/>
          <w:sz w:val="15"/>
          <w:szCs w:val="15"/>
          <w:color w:val="auto"/>
        </w:rPr>
        <w:t>. The issuance of the Common Shares and the Warrants are duly authorized and, upon issuance and payment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(collectively “</w:t>
      </w:r>
      <w:r>
        <w:rPr>
          <w:rFonts w:ascii="Arial" w:cs="Arial" w:eastAsia="Arial" w:hAnsi="Arial"/>
          <w:sz w:val="15"/>
          <w:szCs w:val="15"/>
          <w:b w:val="1"/>
          <w:bCs w:val="1"/>
          <w:color w:val="auto"/>
        </w:rPr>
        <w:t>Liens</w:t>
      </w:r>
      <w:r>
        <w:rPr>
          <w:rFonts w:ascii="Arial" w:cs="Arial" w:eastAsia="Arial" w:hAnsi="Arial"/>
          <w:sz w:val="15"/>
          <w:szCs w:val="15"/>
          <w:color w:val="auto"/>
        </w:rPr>
        <w:t>”) with respect to the issuance thereof. As of the Closing, the Company shall have reserved from its duly authorized capital stock not less than 100% of the maximum number of shares of Common Stock issuable upon exercise of the Warrants (without taking into account any limitations on the exercise of the Warrants set forth in the Warrants). Upon exercise in accordance with the terms of the Warrants, the Warrant Shares, when issued, will be validly issued, fully paid and nonassessable and free from all preemptive or similar rights or Liens with respect to the issue thereof, with the holders being entitled to all rights accorded to a holder of Common Stock. Upon receipt of the Common Shares and the Warrants at the Closing and upon receipt of Warrant Shares upon exercise of the Warrants, each Buyer will have good and marketable title to such Common Shares, Warrants, and Warrant Shares, respectively. Subject to the accuracy of the representations and warranties of such Buyer in this Agreement, the offer and sale of the Warrants to the Buyers under this Agreement is exempt from registration under the 1933 Act under Section 4(a)(2) of the 1933 Act and Rule 506(b) of Regulation D. The offer and sale of all of the Common Shares, as applicable, is registered under the 1933 Act pursuant to the Registration Statement, and all of the Common Shares are freely transferable and freely tradable by each Buyer without restriction. The Registration Statement was declared effective under the 1933 Act by the SEC on October 7, 2019, and any post-effective amendment thereto has also been declared effective by the SEC under the 1933 Act. The Company has not received from the SEC any notice pursuant to Rule 401(g)(1) under the 1933 Act objecting to the use of the shelf registration statement form. No stop order suspending the effectiveness of the Registration Statement or any related registration statement filed by the Company with the SEC under Rule 462(b) under the 1933 Act is in effect and no proceedings for such purpose have been instituted or are pending or, to the knowledge of the Company, are contemplated or threatened by the SEC. At the time of (i) the initial filing of the Registration Statement with the SEC and (ii) the most recent amendment thereto for the purposes of complying with Section 10(a)(3) of the 1933 Act (whether such amendment was by post-effective amendment, incorporated report filed pursuant to Section 13 or 15(d) of the 1934 Act or form of prospectus), the Company met the then applicable requirements for use of Form S-3 under the 1933 Act. The Company and the offer, issuance and sale of the Common Shares, as applicable, meet the requirements for and comply with the applicable conditions set forth in Form S-3 under the 1933 Act, including compliance with General Instructions I.A and I.B.6. of Form S-3. The Registration Statement and the offer, issuance and sale of the Common Shares, as applicable, meet the requirements of Rule 415(a)(1)(x) under the 1933 Act and comply in all material respects with said Rule. The Registration Statement is effective and available for the offer, issuance and sale of all of the Common Shares, and the Company has not received any notice that the SEC has issued or intends to issue a stop-order with respect to the Registration Statement or that the SEC otherwise has suspended or withdrawn the effectiveness of the Registration Statement, either temporarily or permanently, or intends or has threatened in writing to do so. The “Plan of Distribution” section under the Registration Statement permits the issuance and sale of the Common Shares. At the time the Registration Statement and any amendment thereto became effective and on the date of this Agreement, the Registration Statement and any amendment thereto complied and complies in all material respects with the requirements of the 1933 Act and did not and does not contain any untrue statement of a material fact or omit to state any material fact required to be stated therein or necessary to make the statements therein not misleading. The Prospectus and any amendment or supplements thereto (including, without limitation the Prospectus Supplement), at the time the Prospectus or any amendment or supplement thereto was issued and on the date of this Agreement, complied and complies in all material respects with the requirements of the 1933 Act and did not and does not contain any untrue statement of a material fact or omit to state a material fact necessary in order to make the statements therein, in light of the circumstances under which they were made, not misleading. At the earliest time after the filing of the Registration Statement that the Company or another offering participant made a bona fide offer (within the meaning of Rule 164(h)(2) under the 1933 Act) relating to the Common Shares, the Company was not and is not an “Ineligible Issuer” (as defined in Rule 405 under the 1933 Act). The Company has not distributed any offering material in connection with the offer or sale of the Common Shares, other than the Registration Statement, the Prospectus and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 w:name="page11"/>
    <w:bookmarkEnd w:id="10"/>
    <w:p>
      <w:pPr>
        <w:jc w:val="both"/>
        <w:ind w:firstLine="656"/>
        <w:spacing w:after="0" w:line="286" w:lineRule="auto"/>
        <w:tabs>
          <w:tab w:leader="none" w:pos="1069"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and the consummation by the Company of the transactions contemplated hereby and thereby (including, without limitation, the offer and sale of the Common Shares and the offer and sale of the Securities and the reservation for issuance and issuance of the Warrant Shares issuable upon exercise of the Warrant) will not (i) result in a violation of the Articles of Incorporation, as amended and as in effect on the date hereof (the “</w:t>
      </w:r>
      <w:r>
        <w:rPr>
          <w:rFonts w:ascii="Arial" w:cs="Arial" w:eastAsia="Arial" w:hAnsi="Arial"/>
          <w:sz w:val="16"/>
          <w:szCs w:val="16"/>
          <w:b w:val="1"/>
          <w:bCs w:val="1"/>
          <w:color w:val="auto"/>
        </w:rPr>
        <w:t>Articles of Incorporation</w:t>
      </w:r>
      <w:r>
        <w:rPr>
          <w:rFonts w:ascii="Arial" w:cs="Arial" w:eastAsia="Arial" w:hAnsi="Arial"/>
          <w:sz w:val="16"/>
          <w:szCs w:val="16"/>
          <w:color w:val="auto"/>
        </w:rPr>
        <w:t>”) (including, without limitation, any certificate of designation contained therein), its bylaws, as amended and as in effect on the date hereof (the “</w:t>
      </w:r>
      <w:r>
        <w:rPr>
          <w:rFonts w:ascii="Arial" w:cs="Arial" w:eastAsia="Arial" w:hAnsi="Arial"/>
          <w:sz w:val="16"/>
          <w:szCs w:val="16"/>
          <w:b w:val="1"/>
          <w:bCs w:val="1"/>
          <w:color w:val="auto"/>
        </w:rPr>
        <w:t>Bylaws</w:t>
      </w:r>
      <w:r>
        <w:rPr>
          <w:rFonts w:ascii="Arial" w:cs="Arial" w:eastAsia="Arial" w:hAnsi="Arial"/>
          <w:sz w:val="16"/>
          <w:szCs w:val="16"/>
          <w:color w:val="auto"/>
        </w:rPr>
        <w:t>”), or the certificate or articles of incorporation, certificate of formation, memorandum of association, articles of association, bylaws or other organizational documents of any of the Company’s Subsidiaries, or any capital stock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Principal Market and including all applicable foreign, federal and state laws, rules and regulations) applicable to the Company or any of its Subsidiaries or by which any property or asset of the Company or any of its Subsidiaries is bound or affected.</w:t>
      </w:r>
    </w:p>
    <w:p>
      <w:pPr>
        <w:spacing w:after="0" w:line="137" w:lineRule="exact"/>
        <w:rPr>
          <w:rFonts w:ascii="Arial" w:cs="Arial" w:eastAsia="Arial" w:hAnsi="Arial"/>
          <w:sz w:val="16"/>
          <w:szCs w:val="16"/>
          <w:color w:val="auto"/>
        </w:rPr>
      </w:pPr>
    </w:p>
    <w:p>
      <w:pPr>
        <w:jc w:val="both"/>
        <w:ind w:firstLine="656"/>
        <w:spacing w:after="0" w:line="286" w:lineRule="auto"/>
        <w:tabs>
          <w:tab w:leader="none" w:pos="1086"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Neither the Company nor any Subsidiary is required to obtain any consent from, authorization or order of, or make any filing or registration with (other than (i) the filing with the SEC of a Form D relating to the offer, issuance and sale of the Warrants to the Buyers pursuant to Regulation D,</w:t>
      </w:r>
    </w:p>
    <w:p>
      <w:pPr>
        <w:jc w:val="both"/>
        <w:ind w:firstLine="8"/>
        <w:spacing w:after="0" w:line="285" w:lineRule="auto"/>
        <w:tabs>
          <w:tab w:leader="none" w:pos="27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filing of a Notice of Additional Listing with the Principal Market, and (iii) any other filings as may be required by any state securities authorities), any Governmental Entity (as defined below) or any regulatory or self-regulatory agency or any other Person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currently in violation of the requirements of the Principal Market and has no knowledge of any facts or circumstances which could reasonably lead to delisting or suspension of the Common Stock in the foreseeable future. “</w:t>
      </w:r>
      <w:r>
        <w:rPr>
          <w:rFonts w:ascii="Arial" w:cs="Arial" w:eastAsia="Arial" w:hAnsi="Arial"/>
          <w:sz w:val="16"/>
          <w:szCs w:val="16"/>
          <w:b w:val="1"/>
          <w:bCs w:val="1"/>
          <w:color w:val="auto"/>
        </w:rPr>
        <w:t>Governmental Entity</w:t>
      </w:r>
      <w:r>
        <w:rPr>
          <w:rFonts w:ascii="Arial" w:cs="Arial" w:eastAsia="Arial" w:hAnsi="Arial"/>
          <w:sz w:val="16"/>
          <w:szCs w:val="16"/>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38" w:lineRule="exact"/>
        <w:rPr>
          <w:rFonts w:ascii="Arial" w:cs="Arial" w:eastAsia="Arial" w:hAnsi="Arial"/>
          <w:sz w:val="16"/>
          <w:szCs w:val="16"/>
          <w:color w:val="auto"/>
        </w:rPr>
      </w:pPr>
    </w:p>
    <w:p>
      <w:pPr>
        <w:jc w:val="both"/>
        <w:ind w:firstLine="656"/>
        <w:spacing w:after="0" w:line="305" w:lineRule="auto"/>
        <w:tabs>
          <w:tab w:leader="none" w:pos="1067" w:val="left"/>
        </w:tabs>
        <w:numPr>
          <w:ilvl w:val="1"/>
          <w:numId w:val="12"/>
        </w:numPr>
        <w:rPr>
          <w:rFonts w:ascii="Arial" w:cs="Arial" w:eastAsia="Arial" w:hAnsi="Arial"/>
          <w:sz w:val="15"/>
          <w:szCs w:val="15"/>
          <w:color w:val="auto"/>
        </w:rPr>
      </w:pPr>
      <w:r>
        <w:rPr>
          <w:rFonts w:ascii="Arial" w:cs="Arial" w:eastAsia="Arial" w:hAnsi="Arial"/>
          <w:sz w:val="15"/>
          <w:szCs w:val="15"/>
          <w:u w:val="single" w:color="auto"/>
          <w:color w:val="auto"/>
        </w:rPr>
        <w:t>Acknowledgment Regarding Buyer’s Purchase of Securities</w:t>
      </w:r>
      <w:r>
        <w:rPr>
          <w:rFonts w:ascii="Arial" w:cs="Arial" w:eastAsia="Arial" w:hAnsi="Arial"/>
          <w:sz w:val="15"/>
          <w:szCs w:val="15"/>
          <w:color w:val="auto"/>
        </w:rPr>
        <w:t>. The Company acknowledges and agrees that each Buyer is acting solely in the capacity of an arm’s length purchaser with respect to the Transaction Documents and the transactions contemplated hereby and thereby and that the Buyer is not</w:t>
      </w:r>
    </w:p>
    <w:p>
      <w:pPr>
        <w:jc w:val="both"/>
        <w:ind w:firstLine="8"/>
        <w:spacing w:after="0" w:line="288" w:lineRule="auto"/>
        <w:tabs>
          <w:tab w:leader="none" w:pos="213"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officer or director of the Company or any of its Subsidiaries, (ii) an “affiliate” (as defined in Rule 144) of the Company or any of its Subsidiaries, or (iii) to its knowledge, a “beneficial owner” of more than 10% of the shares of Common Stock (as defined for purposes of Rule 13d-3 of the 1934 Act).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has been based solely on the independent evaluation by the Company and its representatives.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jc w:val="both"/>
        <w:ind w:firstLine="656"/>
        <w:spacing w:after="0" w:line="253" w:lineRule="auto"/>
        <w:tabs>
          <w:tab w:leader="none" w:pos="1069"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General Solicitation; Placement Agent’s Fees</w:t>
      </w:r>
      <w:r>
        <w:rPr>
          <w:rFonts w:ascii="Arial" w:cs="Arial" w:eastAsia="Arial" w:hAnsi="Arial"/>
          <w:sz w:val="18"/>
          <w:szCs w:val="18"/>
          <w:color w:val="auto"/>
        </w:rPr>
        <w:t>. Neither the Company, nor any of its Subsidiaries or affiliates, nor any Person acting on its or their behalf, has engaged in any form of general solicitation or general advertising (within the meaning of Regulation D) in connection with the offer, issuance and sale of the Securities. The Company shall be responsible for the payment of any placement agent’s fees, financial advisory fees, or brokers’ commissions relating to or arising out of the transactions contemplated by the Transaction Documents. The Company shall pay, and hold each Buyer harmless against, any liability, loss or expense (including, without limitation, attorney's fees and out-of-pocket expenses) arising in connection with any such claim. Neither the Company nor any of its Subsidiaries has engaged any placement agent or other agent in connection with the offer and sale of any of the Securities contemplated by the Transaction Documents.</w:t>
      </w:r>
    </w:p>
    <w:p>
      <w:pPr>
        <w:spacing w:after="0" w:line="160" w:lineRule="exact"/>
        <w:rPr>
          <w:rFonts w:ascii="Arial" w:cs="Arial" w:eastAsia="Arial" w:hAnsi="Arial"/>
          <w:sz w:val="18"/>
          <w:szCs w:val="18"/>
          <w:color w:val="auto"/>
        </w:rPr>
      </w:pPr>
    </w:p>
    <w:p>
      <w:pPr>
        <w:jc w:val="both"/>
        <w:ind w:firstLine="656"/>
        <w:spacing w:after="0" w:line="289" w:lineRule="auto"/>
        <w:tabs>
          <w:tab w:leader="none" w:pos="106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 Aggregated or Integrated Offering</w:t>
      </w:r>
      <w:r>
        <w:rPr>
          <w:rFonts w:ascii="Arial" w:cs="Arial" w:eastAsia="Arial" w:hAnsi="Arial"/>
          <w:sz w:val="16"/>
          <w:szCs w:val="16"/>
          <w:color w:val="auto"/>
        </w:rPr>
        <w:t>. None of the Company, its Subsidiaries or any of their affiliates, nor any Person acting on their behalf has, directly or indirectly, made any offers or sales of any security or solicited any offers to buy any security, under circumstances that would cause the issuance of any of the Securities to require the approval of stockholders of the Company under the rules of the Principal Market. None of the Company, its Subsidiaries or any of their affiliates, nor any Person acting on their behalf has, directly or indirectly, made any offers, issuances or sales of any security (including, without limitation, the offer, issuance and sale of the Common Shares, the Warrants and the Warrant Shares to an Investor hereunder, as applicable) or solicited any offers to buy any security (including, without limitation, the Common Shares, the Warrants or the Warrant Shares, as applicable), under circumstances that would require registration of the offer, issuance or sale of any of such Securities under the 1933 Act, whether through integration with the offering of the Common Shares, the Warrants or the Warrant Shares to each Investor hereunder.</w:t>
      </w:r>
    </w:p>
    <w:p>
      <w:pPr>
        <w:spacing w:after="0" w:line="131" w:lineRule="exact"/>
        <w:rPr>
          <w:rFonts w:ascii="Arial" w:cs="Arial" w:eastAsia="Arial" w:hAnsi="Arial"/>
          <w:sz w:val="16"/>
          <w:szCs w:val="16"/>
          <w:color w:val="auto"/>
        </w:rPr>
      </w:pPr>
    </w:p>
    <w:p>
      <w:pPr>
        <w:jc w:val="both"/>
        <w:ind w:firstLine="656"/>
        <w:spacing w:after="0" w:line="256" w:lineRule="auto"/>
        <w:tabs>
          <w:tab w:leader="none" w:pos="105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Dilutive Effect</w:t>
      </w:r>
      <w:r>
        <w:rPr>
          <w:rFonts w:ascii="Arial" w:cs="Arial" w:eastAsia="Arial" w:hAnsi="Arial"/>
          <w:sz w:val="18"/>
          <w:szCs w:val="18"/>
          <w:color w:val="auto"/>
        </w:rPr>
        <w:t>. The Company understands and acknowledges that the number of Warrant Shares will increase in certain circumstances. The Company further acknowledges that its obligation to issue the Warrant Shares upon exercise of the Warrants in accordance with this Agreement and the Warrant, in each case is absolute and unconditional regardless of the dilutive effect that such issuance may have on the ownership interests of other stockholders of the Company.</w:t>
      </w:r>
    </w:p>
    <w:p>
      <w:pPr>
        <w:spacing w:after="0" w:line="156" w:lineRule="exact"/>
        <w:rPr>
          <w:rFonts w:ascii="Arial" w:cs="Arial" w:eastAsia="Arial" w:hAnsi="Arial"/>
          <w:sz w:val="18"/>
          <w:szCs w:val="18"/>
          <w:color w:val="auto"/>
        </w:rPr>
      </w:pPr>
    </w:p>
    <w:p>
      <w:pPr>
        <w:jc w:val="both"/>
        <w:ind w:firstLine="656"/>
        <w:spacing w:after="0" w:line="290" w:lineRule="auto"/>
        <w:tabs>
          <w:tab w:leader="none" w:pos="103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Application of Takeover Protections; Rights Agreement</w:t>
      </w:r>
      <w:r>
        <w:rPr>
          <w:rFonts w:ascii="Arial" w:cs="Arial" w:eastAsia="Arial" w:hAnsi="Arial"/>
          <w:sz w:val="16"/>
          <w:szCs w:val="16"/>
          <w:color w:val="auto"/>
        </w:rPr>
        <w:t>. The Company and its board of directors have taken all necessary action, if any, in order to render inapplicable any control share acquisition, interested stockholder, business combination, poison pill (including, without limitation, any distribution under a rights agreement), stockholder rights plan or other similar anti-takeover provision under the Articles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each Buyer’s ownership of the Securities. The Company and its board of directors have taken all necessary action, if any, in order to render inapplicable any stockholder rights plan or similar arrangement relating to accumulations of beneficial ownership of shares of Common Stock or a change in control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 w:name="page13"/>
    <w:bookmarkEnd w:id="12"/>
    <w:p>
      <w:pPr>
        <w:jc w:val="both"/>
        <w:ind w:firstLine="656"/>
        <w:spacing w:after="0" w:line="282" w:lineRule="auto"/>
        <w:tabs>
          <w:tab w:leader="none" w:pos="1083"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SEC Documents; Financial Statements</w:t>
      </w:r>
      <w:r>
        <w:rPr>
          <w:rFonts w:ascii="Arial" w:cs="Arial" w:eastAsia="Arial" w:hAnsi="Arial"/>
          <w:sz w:val="16"/>
          <w:szCs w:val="16"/>
          <w:color w:val="auto"/>
        </w:rPr>
        <w:t>.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Arial" w:cs="Arial" w:eastAsia="Arial" w:hAnsi="Arial"/>
          <w:sz w:val="16"/>
          <w:szCs w:val="16"/>
          <w:b w:val="1"/>
          <w:bCs w:val="1"/>
          <w:color w:val="auto"/>
        </w:rPr>
        <w:t>SEC Documents</w:t>
      </w:r>
      <w:r>
        <w:rPr>
          <w:rFonts w:ascii="Arial" w:cs="Arial" w:eastAsia="Arial" w:hAnsi="Arial"/>
          <w:sz w:val="16"/>
          <w:szCs w:val="16"/>
          <w:color w:val="auto"/>
        </w:rPr>
        <w:t>”). The Company has delivered or has made available to each Buyer or its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during the periods involved (except</w:t>
      </w:r>
    </w:p>
    <w:p>
      <w:pPr>
        <w:spacing w:after="0" w:line="5" w:lineRule="exact"/>
        <w:rPr>
          <w:rFonts w:ascii="Arial" w:cs="Arial" w:eastAsia="Arial" w:hAnsi="Arial"/>
          <w:sz w:val="16"/>
          <w:szCs w:val="16"/>
          <w:color w:val="auto"/>
        </w:rPr>
      </w:pPr>
    </w:p>
    <w:p>
      <w:pPr>
        <w:jc w:val="both"/>
        <w:ind w:firstLine="8"/>
        <w:spacing w:after="0" w:line="284" w:lineRule="auto"/>
        <w:tabs>
          <w:tab w:leader="none" w:pos="2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any Buyer which is not included in the SEC Documents (including, without limitation, information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 w:name="page14"/>
    <w:bookmarkEnd w:id="13"/>
    <w:p>
      <w:pPr>
        <w:jc w:val="both"/>
        <w:ind w:firstLine="656"/>
        <w:spacing w:after="0" w:line="284" w:lineRule="auto"/>
        <w:tabs>
          <w:tab w:leader="none" w:pos="103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Since the date of the Company’s most recent audited financial statements contained in a Form 10-K, other than as set forth in the SEC Documents, there has been no material adverse change and no material adverse development in the business, assets, liabilities, properties, operations (including results thereof), condition (financial or otherwise) or prospects of the Company or any of its Subsidiaries. Since the date of the Company’s most recent audited financial statements contained in a Form 10-K, neither the Company nor any of its Subsidiaries has (i) declared or paid any dividends, (ii) sold any assets, individually or in the aggregate, outside of the ordinary course of business, or (iii) made any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the Closing, will not be Insolvent (as defined below). For purposes of this Section 3(l), “</w:t>
      </w:r>
      <w:r>
        <w:rPr>
          <w:rFonts w:ascii="Arial" w:cs="Arial" w:eastAsia="Arial" w:hAnsi="Arial"/>
          <w:sz w:val="16"/>
          <w:szCs w:val="16"/>
          <w:b w:val="1"/>
          <w:bCs w:val="1"/>
          <w:color w:val="auto"/>
        </w:rPr>
        <w:t>Insolvent</w:t>
      </w:r>
      <w:r>
        <w:rPr>
          <w:rFonts w:ascii="Arial" w:cs="Arial" w:eastAsia="Arial" w:hAnsi="Arial"/>
          <w:sz w:val="16"/>
          <w:szCs w:val="16"/>
          <w:color w:val="auto"/>
        </w:rPr>
        <w:t>” means, (i)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 (B) the Company or such Subsidiary (as the case may be) is unable to pay its respective debts and liabilities, subordinated, contingent or otherwise, as such debts and liabilities become absolute and matured, or (C)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 with which to conduct the business in which it is engaged as such business is now conducted and is proposed to be conducted.</w:t>
      </w:r>
    </w:p>
    <w:p>
      <w:pPr>
        <w:spacing w:after="0" w:line="141" w:lineRule="exact"/>
        <w:rPr>
          <w:rFonts w:ascii="Arial" w:cs="Arial" w:eastAsia="Arial" w:hAnsi="Arial"/>
          <w:sz w:val="16"/>
          <w:szCs w:val="16"/>
          <w:color w:val="auto"/>
        </w:rPr>
      </w:pPr>
    </w:p>
    <w:p>
      <w:pPr>
        <w:jc w:val="both"/>
        <w:ind w:firstLine="656"/>
        <w:spacing w:after="0" w:line="255" w:lineRule="auto"/>
        <w:tabs>
          <w:tab w:leader="none" w:pos="111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Undisclosed Events, Liabilities, Developments or Circumstances</w:t>
      </w:r>
      <w:r>
        <w:rPr>
          <w:rFonts w:ascii="Arial" w:cs="Arial" w:eastAsia="Arial" w:hAnsi="Arial"/>
          <w:sz w:val="18"/>
          <w:szCs w:val="18"/>
          <w:color w:val="auto"/>
        </w:rPr>
        <w:t>.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(i) would be required to be disclosed by the Company under the 1934 Act and which has not been publicly announced, (ii) could have a material adverse effect on any Buyer’s investment hereunder, or (iii) could have a Material Adverse Effect.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p>
      <w:pPr>
        <w:jc w:val="both"/>
        <w:ind w:firstLine="656"/>
        <w:spacing w:after="0" w:line="285" w:lineRule="auto"/>
        <w:tabs>
          <w:tab w:leader="none" w:pos="106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Conduct of Business; Regulatory Permits</w:t>
      </w:r>
      <w:r>
        <w:rPr>
          <w:rFonts w:ascii="Arial" w:cs="Arial" w:eastAsia="Arial" w:hAnsi="Arial"/>
          <w:sz w:val="16"/>
          <w:szCs w:val="16"/>
          <w:color w:val="auto"/>
        </w:rPr>
        <w:t>. Neither the Company nor any of its Subsidiaries is in violation of any term of or in default under the Company’s Articles of Incorporation, any certificate of designation, preferences or rights of any other outstanding series of preferred stock of the Company, or any organizational charter, certificate of formation, memorandum of association, articles of association, certificate or articles of incorporation or bylaws of any of the Subsidiaries.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have a Material Adverse Effect.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41" w:lineRule="exact"/>
        <w:rPr>
          <w:rFonts w:ascii="Arial" w:cs="Arial" w:eastAsia="Arial" w:hAnsi="Arial"/>
          <w:sz w:val="16"/>
          <w:szCs w:val="16"/>
          <w:color w:val="auto"/>
        </w:rPr>
      </w:pPr>
    </w:p>
    <w:p>
      <w:pPr>
        <w:jc w:val="both"/>
        <w:ind w:firstLine="656"/>
        <w:spacing w:after="0" w:line="290" w:lineRule="auto"/>
        <w:tabs>
          <w:tab w:leader="none" w:pos="109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w:t>
      </w:r>
      <w:r>
        <w:rPr>
          <w:rFonts w:ascii="Arial" w:cs="Arial" w:eastAsia="Arial" w:hAnsi="Arial"/>
          <w:sz w:val="16"/>
          <w:szCs w:val="16"/>
          <w:color w:val="auto"/>
        </w:rPr>
        <w:t>. Neither the Company, any of its Subsidiaries or to the knowledge of the Company, any director, officer, agent, employee, nor any other person acting for or on behalf of the foregoing (individually and collectively, a “</w:t>
      </w:r>
      <w:r>
        <w:rPr>
          <w:rFonts w:ascii="Arial" w:cs="Arial" w:eastAsia="Arial" w:hAnsi="Arial"/>
          <w:sz w:val="16"/>
          <w:szCs w:val="16"/>
          <w:b w:val="1"/>
          <w:bCs w:val="1"/>
          <w:color w:val="auto"/>
        </w:rPr>
        <w:t>Company Affiliate</w:t>
      </w:r>
      <w:r>
        <w:rPr>
          <w:rFonts w:ascii="Arial" w:cs="Arial" w:eastAsia="Arial" w:hAnsi="Arial"/>
          <w:sz w:val="16"/>
          <w:szCs w:val="16"/>
          <w:color w:val="auto"/>
        </w:rPr>
        <w:t>”) have violated the U.S. Foreign Corrupt Practices Act (the “</w:t>
      </w:r>
      <w:r>
        <w:rPr>
          <w:rFonts w:ascii="Arial" w:cs="Arial" w:eastAsia="Arial" w:hAnsi="Arial"/>
          <w:sz w:val="16"/>
          <w:szCs w:val="16"/>
          <w:b w:val="1"/>
          <w:bCs w:val="1"/>
          <w:color w:val="auto"/>
        </w:rPr>
        <w:t>FCPA</w:t>
      </w:r>
      <w:r>
        <w:rPr>
          <w:rFonts w:ascii="Arial" w:cs="Arial" w:eastAsia="Arial" w:hAnsi="Arial"/>
          <w:sz w:val="16"/>
          <w:szCs w:val="16"/>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Arial" w:cs="Arial" w:eastAsia="Arial" w:hAnsi="Arial"/>
          <w:sz w:val="16"/>
          <w:szCs w:val="16"/>
          <w:b w:val="1"/>
          <w:bCs w:val="1"/>
          <w:color w:val="auto"/>
        </w:rPr>
        <w:t>Government Official</w:t>
      </w:r>
      <w:r>
        <w:rPr>
          <w:rFonts w:ascii="Arial" w:cs="Arial" w:eastAsia="Arial" w:hAnsi="Arial"/>
          <w:sz w:val="16"/>
          <w:szCs w:val="16"/>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131" w:lineRule="exact"/>
        <w:rPr>
          <w:rFonts w:ascii="Arial" w:cs="Arial" w:eastAsia="Arial" w:hAnsi="Arial"/>
          <w:sz w:val="16"/>
          <w:szCs w:val="16"/>
          <w:color w:val="auto"/>
        </w:rPr>
      </w:pPr>
    </w:p>
    <w:p>
      <w:pPr>
        <w:jc w:val="both"/>
        <w:ind w:left="660" w:firstLine="1941"/>
        <w:spacing w:after="0" w:line="259" w:lineRule="auto"/>
        <w:tabs>
          <w:tab w:leader="none" w:pos="30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153" w:lineRule="exact"/>
        <w:rPr>
          <w:rFonts w:ascii="Arial" w:cs="Arial" w:eastAsia="Arial" w:hAnsi="Arial"/>
          <w:sz w:val="18"/>
          <w:szCs w:val="18"/>
          <w:color w:val="auto"/>
        </w:rPr>
      </w:pPr>
    </w:p>
    <w:p>
      <w:pPr>
        <w:ind w:left="3040" w:hanging="439"/>
        <w:spacing w:after="0"/>
        <w:tabs>
          <w:tab w:leader="none" w:pos="30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assisting the Company or its Subsidiaries in obtaining or retaining business for or with, or directing business to, the</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 or its Subsidiaries.</w:t>
      </w:r>
    </w:p>
    <w:p>
      <w:pPr>
        <w:spacing w:after="0" w:line="178" w:lineRule="exact"/>
        <w:rPr>
          <w:rFonts w:ascii="Arial" w:cs="Arial" w:eastAsia="Arial" w:hAnsi="Arial"/>
          <w:sz w:val="16"/>
          <w:szCs w:val="16"/>
          <w:color w:val="auto"/>
        </w:rPr>
      </w:pPr>
    </w:p>
    <w:p>
      <w:pPr>
        <w:ind w:firstLine="656"/>
        <w:spacing w:after="0" w:line="332" w:lineRule="auto"/>
        <w:tabs>
          <w:tab w:leader="none" w:pos="106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Sarbanes-Oxley Act</w:t>
      </w:r>
      <w:r>
        <w:rPr>
          <w:rFonts w:ascii="Arial" w:cs="Arial" w:eastAsia="Arial" w:hAnsi="Arial"/>
          <w:sz w:val="16"/>
          <w:szCs w:val="16"/>
          <w:color w:val="auto"/>
        </w:rPr>
        <w:t>. The Company and each Subsidiary is in compliance in all material respects with any and all applicable requirements of the Sarbanes-Oxley Act of 2002, as amended, and any and all applicable rules and regulations promulgated by the SEC thereunder.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 w:name="page16"/>
    <w:bookmarkEnd w:id="15"/>
    <w:p>
      <w:pPr>
        <w:jc w:val="both"/>
        <w:ind w:firstLine="656"/>
        <w:spacing w:after="0" w:line="285" w:lineRule="auto"/>
        <w:tabs>
          <w:tab w:leader="none" w:pos="109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Except as disclosed in the SEC Documents, no current or former director or officer (direct or indirect) of the Company or its Subsidiaries, or any associate, or, to the knowledge of the Company, any affiliate of any thereof, or any relative with a relationship no more remote than first cousin of any of the foregoing, is presently, or has ever been, (i) a party to any transaction with the Company or its Subsidiaries (including any contract, agreement or other arrangement providing for the furnishing of services by, or rental of real or personal property from, or otherwise requiring payments to, any such director, officer or stockholder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stock of a company whose securities are traded on or quoted through an Eligible Market (as defined below)), nor does any such Person receive income from any source other than the Company or its Subsidiaries which relates to the business of the Company or its Subsidiaries or should properly accrue to the Company or its Subsidiaries. No employee, officer, stockholder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and (iii) for other standard employee benefits made generally available to all employees or executives (including stock option agreements outstanding under any stock option plan approved by the Board of Directors of the Company).</w:t>
      </w:r>
    </w:p>
    <w:p>
      <w:pPr>
        <w:spacing w:after="0" w:line="141" w:lineRule="exact"/>
        <w:rPr>
          <w:rFonts w:ascii="Arial" w:cs="Arial" w:eastAsia="Arial" w:hAnsi="Arial"/>
          <w:sz w:val="16"/>
          <w:szCs w:val="16"/>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Equity Capitalization.</w:t>
      </w:r>
    </w:p>
    <w:p>
      <w:pPr>
        <w:spacing w:after="0" w:line="157" w:lineRule="exact"/>
        <w:rPr>
          <w:rFonts w:ascii="Arial" w:cs="Arial" w:eastAsia="Arial" w:hAnsi="Arial"/>
          <w:sz w:val="18"/>
          <w:szCs w:val="18"/>
          <w:color w:val="auto"/>
        </w:rPr>
      </w:pPr>
    </w:p>
    <w:p>
      <w:pPr>
        <w:ind w:left="1960" w:hanging="655"/>
        <w:spacing w:after="0"/>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1300" w:firstLine="653"/>
        <w:spacing w:after="0" w:line="339" w:lineRule="auto"/>
        <w:tabs>
          <w:tab w:leader="none" w:pos="2702" w:val="left"/>
        </w:tabs>
        <w:numPr>
          <w:ilvl w:val="2"/>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(x) the Company’s shares of common stock, $0.001 par value per share, and (y) any capital stock into which such common stock shall have been changed or any share capital resulting from a reclassification of such common stock.</w:t>
      </w:r>
    </w:p>
    <w:p>
      <w:pPr>
        <w:spacing w:after="0" w:line="60" w:lineRule="exact"/>
        <w:rPr>
          <w:rFonts w:ascii="Arial" w:cs="Arial" w:eastAsia="Arial" w:hAnsi="Arial"/>
          <w:sz w:val="16"/>
          <w:szCs w:val="16"/>
          <w:color w:val="auto"/>
        </w:rPr>
      </w:pPr>
    </w:p>
    <w:p>
      <w:pPr>
        <w:jc w:val="both"/>
        <w:ind w:left="1300" w:firstLine="653"/>
        <w:spacing w:after="0" w:line="301" w:lineRule="auto"/>
        <w:tabs>
          <w:tab w:leader="none" w:pos="2746" w:val="left"/>
        </w:tabs>
        <w:numPr>
          <w:ilvl w:val="2"/>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means (x) the Company’s blank check preferred stock, $0.001 par value per share, the terms of which may be designated by the board of directors of the Company in a certificate of designations and (y) any capital stock into which such preferred stock shall have been changed or any share capital resulting from a reclassification of such preferred stock (other than a conversion of such preferred stock into Common Stock in accordance with the terms of such certificate of designations).</w:t>
      </w:r>
    </w:p>
    <w:p>
      <w:pPr>
        <w:spacing w:after="0" w:line="123" w:lineRule="exact"/>
        <w:rPr>
          <w:sz w:val="20"/>
          <w:szCs w:val="20"/>
          <w:color w:val="auto"/>
        </w:rPr>
      </w:pPr>
    </w:p>
    <w:p>
      <w:pPr>
        <w:jc w:val="both"/>
        <w:ind w:left="660" w:firstLine="1293"/>
        <w:spacing w:after="0" w:line="291" w:lineRule="auto"/>
        <w:tabs>
          <w:tab w:leader="none" w:pos="238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Authorized and Outstanding Capital Stock</w:t>
      </w:r>
      <w:r>
        <w:rPr>
          <w:rFonts w:ascii="Arial" w:cs="Arial" w:eastAsia="Arial" w:hAnsi="Arial"/>
          <w:sz w:val="16"/>
          <w:szCs w:val="16"/>
          <w:color w:val="auto"/>
        </w:rPr>
        <w:t>. As of the date hereof, the authorized capital stock of the Company consists of (A) 175,000,000 shares of Common Stock, of which, 44,092,965 are issued and outstanding (excluding the Common Shares) and 48,583,204 shares are reserved for issuance pursuant to Convertible Securities (as defined below) exercisable or exchangeable for, or convertible into, shares of Common Stock and (B) 10,000,000 shares of Preferred Stock, 500,000 of which are designated as Series A Preferred Stock, all of which are issued and outstanding, 4,000,000 of which are designated as Series B Preferred Stock, 1,160,240 of which are issued and outstanding, and 3,000,000 of which are designated as Series C Preferred Stock, 2,318,012 of which are issued and outstanding.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jc w:val="both"/>
        <w:ind w:left="-540" w:firstLine="1293"/>
        <w:spacing w:after="0" w:line="309" w:lineRule="auto"/>
        <w:tabs>
          <w:tab w:leader="none" w:pos="1236"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Valid Issuance; Available Shares; Affiliates</w:t>
      </w:r>
      <w:r>
        <w:rPr>
          <w:rFonts w:ascii="Arial" w:cs="Arial" w:eastAsia="Arial" w:hAnsi="Arial"/>
          <w:sz w:val="15"/>
          <w:szCs w:val="15"/>
          <w:color w:val="auto"/>
        </w:rPr>
        <w:t xml:space="preserve">. All of such outstanding shares are duly authorized and have been, or upon issuance will be, validly issued and are fully paid and nonassessable. </w:t>
      </w:r>
      <w:r>
        <w:rPr>
          <w:rFonts w:ascii="Arial" w:cs="Arial" w:eastAsia="Arial" w:hAnsi="Arial"/>
          <w:sz w:val="15"/>
          <w:szCs w:val="15"/>
          <w:u w:val="single" w:color="auto"/>
          <w:color w:val="auto"/>
        </w:rPr>
        <w:t>Schedule 3(r)(iii)</w:t>
      </w:r>
      <w:r>
        <w:rPr>
          <w:rFonts w:ascii="Arial" w:cs="Arial" w:eastAsia="Arial" w:hAnsi="Arial"/>
          <w:sz w:val="15"/>
          <w:szCs w:val="15"/>
          <w:color w:val="auto"/>
        </w:rPr>
        <w:t xml:space="preserve"> sets forth the number of shares of Common Stock that are (A) reserved for issuance pursuant to Convertible Securities (as defined below) (other than the Warrants) and (B) that are, as of the date hereof,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To the Company’s knowledge, no Person owns 10% or more of the Company’s issued and outstanding shares of Common Stock (calculated based on the assumption that all Convertible Securities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121" w:lineRule="exact"/>
        <w:rPr>
          <w:rFonts w:ascii="Arial" w:cs="Arial" w:eastAsia="Arial" w:hAnsi="Arial"/>
          <w:sz w:val="15"/>
          <w:szCs w:val="15"/>
          <w:color w:val="auto"/>
        </w:rPr>
      </w:pPr>
    </w:p>
    <w:p>
      <w:pPr>
        <w:jc w:val="both"/>
        <w:ind w:left="-540" w:firstLine="1293"/>
        <w:spacing w:after="0" w:line="285" w:lineRule="auto"/>
        <w:tabs>
          <w:tab w:leader="none" w:pos="122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Existing Securities; Obligations</w:t>
      </w:r>
      <w:r>
        <w:rPr>
          <w:rFonts w:ascii="Arial" w:cs="Arial" w:eastAsia="Arial" w:hAnsi="Arial"/>
          <w:sz w:val="16"/>
          <w:szCs w:val="16"/>
          <w:color w:val="auto"/>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1933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any or all of the Securities; and (F) neither the Company nor any Subsidiary has any stock appreciation rights or “phantom stock” plans or agreements or any similar plan or agreement.</w:t>
      </w:r>
    </w:p>
    <w:p>
      <w:pPr>
        <w:spacing w:after="0" w:line="200" w:lineRule="exact"/>
        <w:rPr>
          <w:sz w:val="20"/>
          <w:szCs w:val="20"/>
          <w:color w:val="auto"/>
        </w:rPr>
      </w:pPr>
    </w:p>
    <w:p>
      <w:pPr>
        <w:spacing w:after="0" w:line="34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90" w:right="239" w:bottom="1440" w:gutter="0" w:footer="0" w:header="0"/>
        </w:sectPr>
      </w:pPr>
    </w:p>
    <w:bookmarkStart w:id="17" w:name="page18"/>
    <w:bookmarkEnd w:id="17"/>
    <w:p>
      <w:pPr>
        <w:jc w:val="both"/>
        <w:ind w:firstLine="656"/>
        <w:spacing w:after="0" w:line="283" w:lineRule="auto"/>
        <w:tabs>
          <w:tab w:leader="none" w:pos="107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Indebtedness and Other Contracts</w:t>
      </w:r>
      <w:r>
        <w:rPr>
          <w:rFonts w:ascii="Arial" w:cs="Arial" w:eastAsia="Arial" w:hAnsi="Arial"/>
          <w:sz w:val="16"/>
          <w:szCs w:val="16"/>
          <w:color w:val="auto"/>
        </w:rPr>
        <w:t>. Except as set forth in the SEC Documents, neither the Company nor any of its Subsidiaries, (i) has any outstanding debt securities, notes, credit agreements, credit facilities or other agreements, documents or instruments evidencing Indebtedness of the Company or any of its Subsidiaries or by which the Company or any of its Subsidiaries is or may become bound, (ii) is a party to any contract, agreement or instrument, the violation of which, or default under which, by the other party(ies) to such contract, agreement or instrument could reasonably be expected to result in a Material Adverse Effect,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(x) “</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but shall specifically exclude, by way of example and not by limitation, all ordinary course payables and obligations, and Indebtedness not to exceed $100,000 in amount; (y) “</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limited liability company, a partnership, a joint venture, a corporation, a trust, an unincorporated organization, any other entity and any Governmental Entity or any department or agency thereof.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jc w:val="both"/>
        <w:ind w:firstLine="656"/>
        <w:spacing w:after="0" w:line="286" w:lineRule="auto"/>
        <w:tabs>
          <w:tab w:leader="none" w:pos="103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arbitration, proceeding, inquiry or investigation before or by the Principal Market, any court, public board, other Governmental Entity, self-regulatory organization or body pending or, to the knowledge of the Company, threatened against or affecting the Company or any of its Subsidiaries, the Common Stock or any of the Company’s or its Subsidiaries’ officers or directors, whether of a civil or criminal nature or otherwise, in their capacities as such, which is outside of the ordinary course of business or individually or in the aggregate material to the Company or any of its Subsidiaries. To the Company’s knowledge,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including, without limitation, the Registration Statement. After reasonable inquiry of its employees, the Company is not aware of any fact which might result in or form the basis for any such action, suit, arbitration, investigation, inquiry or other proceeding. Neither the Company nor any of its Subsidiaries is subject to any order, writ, judgment, injunction, decree, determination or award of any Governmental Entity.</w:t>
      </w:r>
    </w:p>
    <w:p>
      <w:pPr>
        <w:spacing w:after="0" w:line="140" w:lineRule="exact"/>
        <w:rPr>
          <w:rFonts w:ascii="Arial" w:cs="Arial" w:eastAsia="Arial" w:hAnsi="Arial"/>
          <w:sz w:val="16"/>
          <w:szCs w:val="16"/>
          <w:color w:val="auto"/>
        </w:rPr>
      </w:pPr>
    </w:p>
    <w:p>
      <w:pPr>
        <w:jc w:val="both"/>
        <w:ind w:firstLine="656"/>
        <w:spacing w:after="0" w:line="294" w:lineRule="auto"/>
        <w:tabs>
          <w:tab w:leader="none" w:pos="1069"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29" w:lineRule="exact"/>
        <w:rPr>
          <w:rFonts w:ascii="Arial" w:cs="Arial" w:eastAsia="Arial" w:hAnsi="Arial"/>
          <w:sz w:val="16"/>
          <w:szCs w:val="16"/>
          <w:color w:val="auto"/>
        </w:rPr>
      </w:pPr>
    </w:p>
    <w:p>
      <w:pPr>
        <w:jc w:val="both"/>
        <w:ind w:firstLine="656"/>
        <w:spacing w:after="0" w:line="287" w:lineRule="auto"/>
        <w:tabs>
          <w:tab w:leader="none" w:pos="1069"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Employee Relations</w:t>
      </w:r>
      <w:r>
        <w:rPr>
          <w:rFonts w:ascii="Arial" w:cs="Arial" w:eastAsia="Arial" w:hAnsi="Arial"/>
          <w:sz w:val="16"/>
          <w:szCs w:val="16"/>
          <w:color w:val="auto"/>
        </w:rPr>
        <w:t>. Neither the Company nor any of its Subsidiaries is a party to any collective bargaining agreement or employs any member of a union. The Company and its Subsidiaries believe that their relations with their employees are good.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136" w:lineRule="exact"/>
        <w:rPr>
          <w:rFonts w:ascii="Arial" w:cs="Arial" w:eastAsia="Arial" w:hAnsi="Arial"/>
          <w:sz w:val="16"/>
          <w:szCs w:val="16"/>
          <w:color w:val="auto"/>
        </w:rPr>
      </w:pPr>
    </w:p>
    <w:p>
      <w:pPr>
        <w:ind w:left="1120" w:hanging="464"/>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305"/>
        <w:spacing w:after="0" w:line="290" w:lineRule="auto"/>
        <w:tabs>
          <w:tab w:leader="none" w:pos="1692"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Real Property</w:t>
      </w:r>
      <w:r>
        <w:rPr>
          <w:rFonts w:ascii="Arial" w:cs="Arial" w:eastAsia="Arial" w:hAnsi="Arial"/>
          <w:sz w:val="16"/>
          <w:szCs w:val="16"/>
          <w:color w:val="auto"/>
        </w:rPr>
        <w:t>. Each of the Company and its Subsidiaries holds good title to all real property, leases in real property, facilities or other interests in real property owned or held by the Company or any of its Subsidiaries (the “</w:t>
      </w:r>
      <w:r>
        <w:rPr>
          <w:rFonts w:ascii="Arial" w:cs="Arial" w:eastAsia="Arial" w:hAnsi="Arial"/>
          <w:sz w:val="16"/>
          <w:szCs w:val="16"/>
          <w:b w:val="1"/>
          <w:bCs w:val="1"/>
          <w:color w:val="auto"/>
        </w:rPr>
        <w:t>Real Property</w:t>
      </w:r>
      <w:r>
        <w:rPr>
          <w:rFonts w:ascii="Arial" w:cs="Arial" w:eastAsia="Arial" w:hAnsi="Arial"/>
          <w:sz w:val="16"/>
          <w:szCs w:val="16"/>
          <w:color w:val="auto"/>
        </w:rPr>
        <w:t>”) owned by the Company or any of its Subsidiaries (as applicable). The Real Property is free and clear of all Liens and is not subject to any rights of way, building use restrictions, exceptions, variances, reservations, or limitations of any nature except for (a) Liens for current taxes not yet due and (b) zoning laws and other land use restrictions that do not impair the present or anticipated use of the property subject thereto. Any Real Property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jc w:val="both"/>
        <w:ind w:firstLine="1305"/>
        <w:spacing w:after="0" w:line="290" w:lineRule="auto"/>
        <w:tabs>
          <w:tab w:leader="none" w:pos="1727"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Fixtures and Equipment</w:t>
      </w:r>
      <w:r>
        <w:rPr>
          <w:rFonts w:ascii="Arial" w:cs="Arial" w:eastAsia="Arial" w:hAnsi="Arial"/>
          <w:sz w:val="16"/>
          <w:szCs w:val="16"/>
          <w:color w:val="auto"/>
        </w:rPr>
        <w:t>. Each of the Company and its Subsidiaries (as applicable) has good title to, or a valid leasehold interest in, the tangible personal property, equipment, improvements, fixtures, and other personal property and appurtenances that are used by the Company or its Subsidiary in connection with the conduct of its business (the “</w:t>
      </w:r>
      <w:r>
        <w:rPr>
          <w:rFonts w:ascii="Arial" w:cs="Arial" w:eastAsia="Arial" w:hAnsi="Arial"/>
          <w:sz w:val="16"/>
          <w:szCs w:val="16"/>
          <w:b w:val="1"/>
          <w:bCs w:val="1"/>
          <w:color w:val="auto"/>
        </w:rPr>
        <w:t>Fixtures and Equipment</w:t>
      </w:r>
      <w:r>
        <w:rPr>
          <w:rFonts w:ascii="Arial" w:cs="Arial" w:eastAsia="Arial" w:hAnsi="Arial"/>
          <w:sz w:val="16"/>
          <w:szCs w:val="16"/>
          <w:color w:val="auto"/>
        </w:rPr>
        <w:t>”).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Closing. Each of the Company and its Subsidiaries owns all of its Fixtures and Equipment free and clear of all Liens except for (a) Liens for current taxes not yet due and (b) zoning laws and other land use restrictions that do not impair the present or anticipated use of the property subject thereto.</w:t>
      </w:r>
    </w:p>
    <w:p>
      <w:pPr>
        <w:spacing w:after="0" w:line="125" w:lineRule="exact"/>
        <w:rPr>
          <w:rFonts w:ascii="Arial" w:cs="Arial" w:eastAsia="Arial" w:hAnsi="Arial"/>
          <w:sz w:val="16"/>
          <w:szCs w:val="16"/>
          <w:color w:val="auto"/>
        </w:rPr>
      </w:pPr>
    </w:p>
    <w:p>
      <w:pPr>
        <w:jc w:val="both"/>
        <w:ind w:firstLine="656"/>
        <w:spacing w:after="0" w:line="285" w:lineRule="auto"/>
        <w:tabs>
          <w:tab w:leader="none" w:pos="109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xml:space="preserve"> As to each product subject to the jurisdiction of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b w:val="1"/>
          <w:bCs w:val="1"/>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b w:val="1"/>
          <w:bCs w:val="1"/>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jc w:val="both"/>
        <w:ind w:firstLine="656"/>
        <w:spacing w:after="0" w:line="286" w:lineRule="auto"/>
        <w:tabs>
          <w:tab w:leader="none" w:pos="108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to conduct their respective businesses as now conducted. None of the Company's Intellectual Property Rights have expired or terminated or have been abandoned or are expected to expire or terminate or are expected to be abandoned, within three years from the date of this Agreement, except for those Intellectual Property Rights that naturally expire at the end of their statutory term. The Company does not have any knowledge of any infringement by the Company or its Subsidiaries of Intellectual Property Rights of others. There is no claim, action or proceeding being made or brought, or to the knowledge of the Company or any of its Subsidiaries, being threatened, against the Company or any of its Subsidiaries regarding its Intellectual Property Rights. Neither the Company nor any of its Subsidiaries is 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spacing w:after="0" w:line="140" w:lineRule="exact"/>
        <w:rPr>
          <w:rFonts w:ascii="Arial" w:cs="Arial" w:eastAsia="Arial" w:hAnsi="Arial"/>
          <w:sz w:val="16"/>
          <w:szCs w:val="16"/>
          <w:color w:val="auto"/>
        </w:rPr>
      </w:pPr>
    </w:p>
    <w:p>
      <w:pPr>
        <w:jc w:val="both"/>
        <w:ind w:firstLine="656"/>
        <w:spacing w:after="0" w:line="288" w:lineRule="auto"/>
        <w:tabs>
          <w:tab w:leader="none" w:pos="1059"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6"/>
          <w:szCs w:val="16"/>
          <w:b w:val="1"/>
          <w:bCs w:val="1"/>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33" w:lineRule="exact"/>
        <w:rPr>
          <w:sz w:val="20"/>
          <w:szCs w:val="20"/>
          <w:color w:val="auto"/>
        </w:rPr>
      </w:pPr>
    </w:p>
    <w:p>
      <w:pPr>
        <w:ind w:left="1140" w:hanging="48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656"/>
        <w:spacing w:after="0" w:line="290" w:lineRule="auto"/>
        <w:tabs>
          <w:tab w:leader="none" w:pos="1157"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The Company and each of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and its Subsidiaries know of no basis for any such claim. The Company is not operated in such a manner as to qualify as a passive foreign investment company, as defined in Section 1297 of the U.S.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jc w:val="both"/>
        <w:ind w:firstLine="656"/>
        <w:spacing w:after="0" w:line="285" w:lineRule="auto"/>
        <w:tabs>
          <w:tab w:leader="none" w:pos="115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Internal Accounting and Disclosure Controls</w:t>
      </w:r>
      <w:r>
        <w:rPr>
          <w:rFonts w:ascii="Arial" w:cs="Arial" w:eastAsia="Arial" w:hAnsi="Arial"/>
          <w:sz w:val="16"/>
          <w:szCs w:val="16"/>
          <w:color w:val="auto"/>
        </w:rPr>
        <w:t>.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(iv) the recorded accountability for assets and liabilities is compared with the existing assets and liabilities at reasonable intervals and appropriate action is taken with respect to any difference, and (v) the interactive data in XBRL included or incorporated by references in the Registration Statement, the Prospectus and the Prospectus Supplement fairly present the information called for in all material respects and are prepared in accordance with the SEC’s rules and guidelines applicable thereto.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spacing w:after="0" w:line="137" w:lineRule="exact"/>
        <w:rPr>
          <w:rFonts w:ascii="Arial" w:cs="Arial" w:eastAsia="Arial" w:hAnsi="Arial"/>
          <w:sz w:val="16"/>
          <w:szCs w:val="16"/>
          <w:color w:val="auto"/>
        </w:rPr>
      </w:pPr>
    </w:p>
    <w:p>
      <w:pPr>
        <w:jc w:val="both"/>
        <w:ind w:firstLine="656"/>
        <w:spacing w:after="0" w:line="259" w:lineRule="auto"/>
        <w:tabs>
          <w:tab w:leader="none" w:pos="115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Off Balance Sheet Arrangements</w:t>
      </w:r>
      <w:r>
        <w:rPr>
          <w:rFonts w:ascii="Arial" w:cs="Arial" w:eastAsia="Arial" w:hAnsi="Arial"/>
          <w:sz w:val="18"/>
          <w:szCs w:val="18"/>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53" w:lineRule="exact"/>
        <w:rPr>
          <w:rFonts w:ascii="Arial" w:cs="Arial" w:eastAsia="Arial" w:hAnsi="Arial"/>
          <w:sz w:val="18"/>
          <w:szCs w:val="18"/>
          <w:color w:val="auto"/>
        </w:rPr>
      </w:pPr>
    </w:p>
    <w:p>
      <w:pPr>
        <w:jc w:val="both"/>
        <w:ind w:right="20" w:firstLine="656"/>
        <w:spacing w:after="0" w:line="306" w:lineRule="auto"/>
        <w:tabs>
          <w:tab w:leader="none" w:pos="1137"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Investment Company Status</w:t>
      </w:r>
      <w:r>
        <w:rPr>
          <w:rFonts w:ascii="Arial" w:cs="Arial" w:eastAsia="Arial" w:hAnsi="Arial"/>
          <w:sz w:val="16"/>
          <w:szCs w:val="16"/>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20" w:lineRule="exact"/>
        <w:rPr>
          <w:rFonts w:ascii="Arial" w:cs="Arial" w:eastAsia="Arial" w:hAnsi="Arial"/>
          <w:sz w:val="16"/>
          <w:szCs w:val="16"/>
          <w:color w:val="auto"/>
        </w:rPr>
      </w:pPr>
    </w:p>
    <w:p>
      <w:pPr>
        <w:jc w:val="both"/>
        <w:ind w:firstLine="656"/>
        <w:spacing w:after="0" w:line="294" w:lineRule="auto"/>
        <w:tabs>
          <w:tab w:leader="none" w:pos="1109"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Manipulation of Price</w:t>
      </w:r>
      <w:r>
        <w:rPr>
          <w:rFonts w:ascii="Arial" w:cs="Arial" w:eastAsia="Arial" w:hAnsi="Arial"/>
          <w:sz w:val="16"/>
          <w:szCs w:val="16"/>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129" w:lineRule="exact"/>
        <w:rPr>
          <w:rFonts w:ascii="Arial" w:cs="Arial" w:eastAsia="Arial" w:hAnsi="Arial"/>
          <w:sz w:val="16"/>
          <w:szCs w:val="16"/>
          <w:color w:val="auto"/>
        </w:rPr>
      </w:pPr>
    </w:p>
    <w:p>
      <w:pPr>
        <w:jc w:val="both"/>
        <w:ind w:right="20" w:firstLine="656"/>
        <w:spacing w:after="0" w:line="259" w:lineRule="auto"/>
        <w:tabs>
          <w:tab w:leader="none" w:pos="118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Neither the Company nor any of its Subsidiaries is, or has ever been, and so long as any of the Securities are held by any Buyer, shall become, a U.S. real property holding corporation within the meaning of Section 897 of the Code, and the Company and each Subsidiary shall so certify upon any Buyer’s request.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jc w:val="both"/>
        <w:ind w:right="20" w:firstLine="656"/>
        <w:spacing w:after="0" w:line="259" w:lineRule="auto"/>
        <w:tabs>
          <w:tab w:leader="none" w:pos="117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On the Closing Date, all stock transfer or other taxes (other than income or similar taxes) which are required to be paid in connection with the issuance, sale and transfer of the Securities to be sold to the Buyers hereunder will be, or will have been, fully paid or provided for by the Company, and all laws imposing such taxes will be or will have been complied with.</w:t>
      </w:r>
    </w:p>
    <w:p>
      <w:pPr>
        <w:spacing w:after="0" w:line="153" w:lineRule="exact"/>
        <w:rPr>
          <w:rFonts w:ascii="Arial" w:cs="Arial" w:eastAsia="Arial" w:hAnsi="Arial"/>
          <w:sz w:val="18"/>
          <w:szCs w:val="18"/>
          <w:color w:val="auto"/>
        </w:rPr>
      </w:pPr>
    </w:p>
    <w:p>
      <w:pPr>
        <w:jc w:val="both"/>
        <w:ind w:firstLine="656"/>
        <w:spacing w:after="0" w:line="254" w:lineRule="auto"/>
        <w:tabs>
          <w:tab w:leader="none" w:pos="107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Bank Holding Company Act</w:t>
      </w:r>
      <w:r>
        <w:rPr>
          <w:rFonts w:ascii="Arial" w:cs="Arial" w:eastAsia="Arial" w:hAnsi="Arial"/>
          <w:sz w:val="18"/>
          <w:szCs w:val="18"/>
          <w:color w:val="auto"/>
        </w:rPr>
        <w:t>. Neither the Company nor any of its Subsidiaries is subject to the Bank Holding Company Act of 1956, as amended (the “</w:t>
      </w:r>
      <w:r>
        <w:rPr>
          <w:rFonts w:ascii="Arial" w:cs="Arial" w:eastAsia="Arial" w:hAnsi="Arial"/>
          <w:sz w:val="18"/>
          <w:szCs w:val="18"/>
          <w:b w:val="1"/>
          <w:bCs w:val="1"/>
          <w:color w:val="auto"/>
        </w:rPr>
        <w:t>BHCA</w:t>
      </w:r>
      <w:r>
        <w:rPr>
          <w:rFonts w:ascii="Arial" w:cs="Arial" w:eastAsia="Arial" w:hAnsi="Arial"/>
          <w:sz w:val="18"/>
          <w:szCs w:val="18"/>
          <w:color w:val="auto"/>
        </w:rPr>
        <w:t>”) and to regulation by the Board of Governors of the Federal Reserve System (the “</w:t>
      </w:r>
      <w:r>
        <w:rPr>
          <w:rFonts w:ascii="Arial" w:cs="Arial" w:eastAsia="Arial" w:hAnsi="Arial"/>
          <w:sz w:val="18"/>
          <w:szCs w:val="18"/>
          <w:b w:val="1"/>
          <w:bCs w:val="1"/>
          <w:color w:val="auto"/>
        </w:rPr>
        <w:t>Federal Reserve</w:t>
      </w:r>
      <w:r>
        <w:rPr>
          <w:rFonts w:ascii="Arial" w:cs="Arial" w:eastAsia="Arial" w:hAnsi="Arial"/>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57" w:lineRule="exact"/>
        <w:rPr>
          <w:rFonts w:ascii="Arial" w:cs="Arial" w:eastAsia="Arial" w:hAnsi="Arial"/>
          <w:sz w:val="18"/>
          <w:szCs w:val="18"/>
          <w:color w:val="auto"/>
        </w:rPr>
      </w:pPr>
    </w:p>
    <w:p>
      <w:pPr>
        <w:ind w:right="20" w:firstLine="656"/>
        <w:spacing w:after="0" w:line="332" w:lineRule="auto"/>
        <w:tabs>
          <w:tab w:leader="none" w:pos="1079"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Shell Company Status</w:t>
      </w:r>
      <w:r>
        <w:rPr>
          <w:rFonts w:ascii="Arial" w:cs="Arial" w:eastAsia="Arial" w:hAnsi="Arial"/>
          <w:sz w:val="16"/>
          <w:szCs w:val="16"/>
          <w:color w:val="auto"/>
        </w:rPr>
        <w:t>. The Company is not, and has not been for the past two fiscal years, an issuer identified in, or subject to, Rule 144(i). The Company has, at least twelve months since it was last an issuer identified in, or subject to, Rule 144(i), filed all “Form 10 Information” pursuant to Rule 144(i).</w:t>
      </w:r>
    </w:p>
    <w:p>
      <w:pPr>
        <w:spacing w:after="0" w:line="98" w:lineRule="exact"/>
        <w:rPr>
          <w:rFonts w:ascii="Arial" w:cs="Arial" w:eastAsia="Arial" w:hAnsi="Arial"/>
          <w:sz w:val="16"/>
          <w:szCs w:val="16"/>
          <w:color w:val="auto"/>
        </w:rPr>
      </w:pPr>
    </w:p>
    <w:p>
      <w:pPr>
        <w:jc w:val="both"/>
        <w:ind w:firstLine="656"/>
        <w:spacing w:after="0" w:line="254" w:lineRule="auto"/>
        <w:tabs>
          <w:tab w:leader="none" w:pos="117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Illegal or Unauthorized Payments; Political Contributions</w:t>
      </w:r>
      <w:r>
        <w:rPr>
          <w:rFonts w:ascii="Arial" w:cs="Arial" w:eastAsia="Arial" w:hAnsi="Arial"/>
          <w:sz w:val="18"/>
          <w:szCs w:val="18"/>
          <w:color w:val="auto"/>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57" w:lineRule="exact"/>
        <w:rPr>
          <w:rFonts w:ascii="Arial" w:cs="Arial" w:eastAsia="Arial" w:hAnsi="Arial"/>
          <w:sz w:val="18"/>
          <w:szCs w:val="18"/>
          <w:color w:val="auto"/>
        </w:rPr>
      </w:pPr>
    </w:p>
    <w:p>
      <w:pPr>
        <w:jc w:val="both"/>
        <w:ind w:firstLine="656"/>
        <w:spacing w:after="0" w:line="294" w:lineRule="auto"/>
        <w:tabs>
          <w:tab w:leader="none" w:pos="1079"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Company and its Subsidiaries are in compliance with, and have not previously violated, the USA Patriot Act of 2001 and all other applicable U.S. and non-U.S. anti-money laundering laws and regulations, including, but not limited to, the laws, regulations and Executive Orders and sanctions programs administered by the U.S. Office of Foreign Assets Control, including, without limitation,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129" w:lineRule="exact"/>
        <w:rPr>
          <w:rFonts w:ascii="Arial" w:cs="Arial" w:eastAsia="Arial" w:hAnsi="Arial"/>
          <w:sz w:val="16"/>
          <w:szCs w:val="16"/>
          <w:color w:val="auto"/>
        </w:rPr>
      </w:pPr>
    </w:p>
    <w:p>
      <w:pPr>
        <w:jc w:val="both"/>
        <w:ind w:firstLine="656"/>
        <w:spacing w:after="0" w:line="318" w:lineRule="auto"/>
        <w:tabs>
          <w:tab w:leader="none" w:pos="1254"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No Disagreements with Accountants and Lawyers</w:t>
      </w:r>
      <w:r>
        <w:rPr>
          <w:rFonts w:ascii="Arial" w:cs="Arial" w:eastAsia="Arial" w:hAnsi="Arial"/>
          <w:sz w:val="15"/>
          <w:szCs w:val="15"/>
          <w:color w:val="auto"/>
        </w:rPr>
        <w: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13" w:lineRule="exact"/>
        <w:rPr>
          <w:rFonts w:ascii="Arial" w:cs="Arial" w:eastAsia="Arial" w:hAnsi="Arial"/>
          <w:sz w:val="15"/>
          <w:szCs w:val="15"/>
          <w:color w:val="auto"/>
        </w:rPr>
      </w:pPr>
    </w:p>
    <w:p>
      <w:pPr>
        <w:ind w:right="20" w:firstLine="656"/>
        <w:spacing w:after="0" w:line="268" w:lineRule="auto"/>
        <w:tabs>
          <w:tab w:leader="none" w:pos="118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 Additional Agreements.</w:t>
      </w:r>
      <w:r>
        <w:rPr>
          <w:rFonts w:ascii="Arial" w:cs="Arial" w:eastAsia="Arial" w:hAnsi="Arial"/>
          <w:sz w:val="18"/>
          <w:szCs w:val="18"/>
          <w:color w:val="auto"/>
        </w:rPr>
        <w:t xml:space="preserve"> The Company does not have any agreement or understanding with any Buyer with respect to the transactions contemplated by the Transaction Documents other than as specified in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4415155</wp:posOffset>
            </wp:positionH>
            <wp:positionV relativeFrom="paragraph">
              <wp:posOffset>-38735</wp:posOffset>
            </wp:positionV>
            <wp:extent cx="279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ind w:right="20" w:firstLine="656"/>
        <w:spacing w:after="0" w:line="268" w:lineRule="auto"/>
        <w:tabs>
          <w:tab w:leader="none" w:pos="117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1933 Act of any securities of the Company or any Subsidiary.</w:t>
      </w:r>
    </w:p>
    <w:p>
      <w:pPr>
        <w:spacing w:after="0" w:line="139" w:lineRule="exact"/>
        <w:rPr>
          <w:rFonts w:ascii="Arial" w:cs="Arial" w:eastAsia="Arial" w:hAnsi="Arial"/>
          <w:sz w:val="18"/>
          <w:szCs w:val="18"/>
          <w:color w:val="auto"/>
        </w:rPr>
      </w:pPr>
    </w:p>
    <w:p>
      <w:pPr>
        <w:jc w:val="both"/>
        <w:ind w:firstLine="656"/>
        <w:spacing w:after="0" w:line="301" w:lineRule="auto"/>
        <w:tabs>
          <w:tab w:leader="none" w:pos="115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Accountants.</w:t>
      </w:r>
      <w:r>
        <w:rPr>
          <w:rFonts w:ascii="Arial" w:cs="Arial" w:eastAsia="Arial" w:hAnsi="Arial"/>
          <w:sz w:val="16"/>
          <w:szCs w:val="16"/>
          <w:color w:val="auto"/>
        </w:rPr>
        <w:t xml:space="preserve"> OUM &amp; CO. LLP (“</w:t>
      </w:r>
      <w:r>
        <w:rPr>
          <w:rFonts w:ascii="Arial" w:cs="Arial" w:eastAsia="Arial" w:hAnsi="Arial"/>
          <w:sz w:val="16"/>
          <w:szCs w:val="16"/>
          <w:b w:val="1"/>
          <w:bCs w:val="1"/>
          <w:color w:val="auto"/>
        </w:rPr>
        <w:t>OUM</w:t>
      </w:r>
      <w:r>
        <w:rPr>
          <w:rFonts w:ascii="Arial" w:cs="Arial" w:eastAsia="Arial" w:hAnsi="Arial"/>
          <w:sz w:val="16"/>
          <w:szCs w:val="16"/>
          <w:color w:val="auto"/>
        </w:rPr>
        <w:t>”), whose report dated June 25, 2019 relating to the financial statements of the Company is filed with the SEC as part of the Company’s Annual Report on Form 10-K for the year ended March 31, 2019 filed with the SEC and incorporated by reference into the Registration Statement and the Prospectus, are and, during the periods covered by their report, were an independent registered public accounting firm within the meaning of the 1933 Act and the Public Company Accounting Oversight Board (United States).</w:t>
      </w:r>
    </w:p>
    <w:p>
      <w:pPr>
        <w:spacing w:after="0" w:line="122" w:lineRule="exact"/>
        <w:rPr>
          <w:rFonts w:ascii="Arial" w:cs="Arial" w:eastAsia="Arial" w:hAnsi="Arial"/>
          <w:sz w:val="16"/>
          <w:szCs w:val="16"/>
          <w:color w:val="auto"/>
        </w:rPr>
      </w:pPr>
    </w:p>
    <w:p>
      <w:pPr>
        <w:jc w:val="both"/>
        <w:ind w:firstLine="656"/>
        <w:spacing w:after="0" w:line="287" w:lineRule="auto"/>
        <w:tabs>
          <w:tab w:leader="none" w:pos="115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xml:space="preserve"> The Common Stock is registered pursuant to Section 12(b) of the 1934 Act, and the Company has taken no action designed to, or which to its knowledge is likely to have the effect of, terminating the registration of the Common Stock under the 1934 Act nor has the Company received any notification that the SEC is contemplating terminating such registration.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Except as disclosed in the SEC Documents, during the two years prior to the date hereof, (i) the Common Stock has been listed or designated for quotation on the Principal Market, (ii) trading in the Common Stock has not been suspended by the SEC or the Principal Market, and (iii) the Company has received no communication, written or oral, from the SEC or the Principal Market regarding the suspension or delisting of the Common Stock from the Principal Market.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36" w:lineRule="exact"/>
        <w:rPr>
          <w:rFonts w:ascii="Arial" w:cs="Arial" w:eastAsia="Arial" w:hAnsi="Arial"/>
          <w:sz w:val="16"/>
          <w:szCs w:val="16"/>
          <w:color w:val="auto"/>
        </w:rPr>
      </w:pPr>
    </w:p>
    <w:p>
      <w:pPr>
        <w:jc w:val="both"/>
        <w:ind w:firstLine="656"/>
        <w:spacing w:after="0" w:line="294" w:lineRule="auto"/>
        <w:tabs>
          <w:tab w:leader="none" w:pos="109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Public Float Calculation</w:t>
      </w:r>
      <w:r>
        <w:rPr>
          <w:rFonts w:ascii="Arial" w:cs="Arial" w:eastAsia="Arial" w:hAnsi="Arial"/>
          <w:sz w:val="16"/>
          <w:szCs w:val="16"/>
          <w:color w:val="auto"/>
        </w:rPr>
        <w:t>. As of the close of trading on the Principal Market on January 22, 2020, the aggregate market value of the outstanding voting and non-voting common equity (as defined in Rule 405) of the Company held by persons other than affiliates of the Company (pursuant to Rule 144, those that directly, or indirectly through one or more intermediaries, control, or are controlled by, or are under common control with, the Company) (the “</w:t>
      </w:r>
      <w:r>
        <w:rPr>
          <w:rFonts w:ascii="Arial" w:cs="Arial" w:eastAsia="Arial" w:hAnsi="Arial"/>
          <w:sz w:val="16"/>
          <w:szCs w:val="16"/>
          <w:b w:val="1"/>
          <w:bCs w:val="1"/>
          <w:color w:val="auto"/>
        </w:rPr>
        <w:t>Non-Affiliate</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was approximately $31,012,686 (calculated by multiplying (x) the price at which the common equity of the Company was last sold on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 on January 22, 2020 ($0.7074) by (y) the number of Non-Affiliate Shares outstanding on 43,840,381, 2020).</w:t>
      </w:r>
    </w:p>
    <w:p>
      <w:pPr>
        <w:spacing w:after="0" w:line="129" w:lineRule="exact"/>
        <w:rPr>
          <w:rFonts w:ascii="Arial" w:cs="Arial" w:eastAsia="Arial" w:hAnsi="Arial"/>
          <w:sz w:val="16"/>
          <w:szCs w:val="16"/>
          <w:color w:val="auto"/>
        </w:rPr>
      </w:pPr>
    </w:p>
    <w:p>
      <w:pPr>
        <w:jc w:val="both"/>
        <w:ind w:firstLine="656"/>
        <w:spacing w:after="0" w:line="289" w:lineRule="auto"/>
        <w:tabs>
          <w:tab w:leader="none" w:pos="113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 Disqualification Events</w:t>
      </w:r>
      <w:r>
        <w:rPr>
          <w:rFonts w:ascii="Arial" w:cs="Arial" w:eastAsia="Arial" w:hAnsi="Arial"/>
          <w:sz w:val="16"/>
          <w:szCs w:val="16"/>
          <w:color w:val="auto"/>
        </w:rPr>
        <w:t>. With respect to the Securities to be offered, issued and sold hereunder and under the Warrant, as applicable, in reliance on Rule 506(b) of Regulation D,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w:t>
      </w:r>
      <w:r>
        <w:rPr>
          <w:rFonts w:ascii="Arial" w:cs="Arial" w:eastAsia="Arial" w:hAnsi="Arial"/>
          <w:sz w:val="16"/>
          <w:szCs w:val="16"/>
          <w:b w:val="1"/>
          <w:bCs w:val="1"/>
          <w:color w:val="auto"/>
        </w:rPr>
        <w:t>Issuer Covered Person</w:t>
      </w:r>
      <w:r>
        <w:rPr>
          <w:rFonts w:ascii="Arial" w:cs="Arial" w:eastAsia="Arial" w:hAnsi="Arial"/>
          <w:sz w:val="16"/>
          <w:szCs w:val="16"/>
          <w:color w:val="auto"/>
        </w:rPr>
        <w:t>”) is subject to any of the “Bad Actor” disqualifications described in Rule 506(d)(1)(i) to (viii) of Regulation D (a “</w:t>
      </w:r>
      <w:r>
        <w:rPr>
          <w:rFonts w:ascii="Arial" w:cs="Arial" w:eastAsia="Arial" w:hAnsi="Arial"/>
          <w:sz w:val="16"/>
          <w:szCs w:val="16"/>
          <w:b w:val="1"/>
          <w:bCs w:val="1"/>
          <w:color w:val="auto"/>
        </w:rPr>
        <w:t>Disqualification Event</w:t>
      </w:r>
      <w:r>
        <w:rPr>
          <w:rFonts w:ascii="Arial" w:cs="Arial" w:eastAsia="Arial" w:hAnsi="Arial"/>
          <w:sz w:val="16"/>
          <w:szCs w:val="16"/>
          <w:color w:val="auto"/>
        </w:rPr>
        <w:t>”), except for a Disqualification Event covered by Rule 506(d)(2) or (d)(3) of Regulation D. The Company has exercised reasonable care to determine whether any Issuer Covered Person is subject to a Disqualification Event. The Company has complied, to the extent applicable, with its disclosure obligations under Rule 506(e) of Regulation D, and has furnished to each Buyer a copy of any disclosures provided thereunder.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 w:name="page25"/>
    <w:bookmarkEnd w:id="24"/>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190" w:lineRule="exact"/>
        <w:rPr>
          <w:rFonts w:ascii="Arial" w:cs="Arial" w:eastAsia="Arial" w:hAnsi="Arial"/>
          <w:sz w:val="18"/>
          <w:szCs w:val="18"/>
          <w:b w:val="1"/>
          <w:bCs w:val="1"/>
          <w:color w:val="auto"/>
        </w:rPr>
      </w:pPr>
    </w:p>
    <w:p>
      <w:pPr>
        <w:jc w:val="both"/>
        <w:ind w:right="20" w:firstLine="656"/>
        <w:spacing w:after="0" w:line="259" w:lineRule="auto"/>
        <w:tabs>
          <w:tab w:leader="none" w:pos="1073"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Reasonable Best Efforts</w:t>
      </w:r>
      <w:r>
        <w:rPr>
          <w:rFonts w:ascii="Arial" w:cs="Arial" w:eastAsia="Arial" w:hAnsi="Arial"/>
          <w:sz w:val="18"/>
          <w:szCs w:val="18"/>
          <w:color w:val="auto"/>
        </w:rPr>
        <w:t>. Each Buyer shall use its reasonable best efforts to timely satisfy each of the covenants hereunder and conditions to be satisfied by it as provided in Section 6 of this Agreement. The Company shall use its reasonable best efforts to timely satisfy each of the covenants hereunder and conditions to be satisfied by it as provided in Section 7 of this Agreement.</w:t>
      </w:r>
    </w:p>
    <w:p>
      <w:pPr>
        <w:spacing w:after="0" w:line="153" w:lineRule="exact"/>
        <w:rPr>
          <w:rFonts w:ascii="Arial" w:cs="Arial" w:eastAsia="Arial" w:hAnsi="Arial"/>
          <w:sz w:val="18"/>
          <w:szCs w:val="18"/>
          <w:color w:val="auto"/>
        </w:rPr>
      </w:pPr>
    </w:p>
    <w:p>
      <w:pPr>
        <w:jc w:val="both"/>
        <w:ind w:firstLine="656"/>
        <w:spacing w:after="0" w:line="291" w:lineRule="auto"/>
        <w:tabs>
          <w:tab w:leader="none" w:pos="1069"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Form D and Blue Sky.</w:t>
      </w:r>
      <w:r>
        <w:rPr>
          <w:rFonts w:ascii="Arial" w:cs="Arial" w:eastAsia="Arial" w:hAnsi="Arial"/>
          <w:sz w:val="16"/>
          <w:szCs w:val="16"/>
          <w:color w:val="auto"/>
        </w:rPr>
        <w:t xml:space="preserve"> The Company agrees to file with the SEC a Form D with respect to the Warrants as required 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each Buyer at the Closing pursuant to this Agreement under applicable securities or “Blue Sky” laws of the states of the United States (or to obtain an exemption from such qualification), and shall provide evidence of any such action so taken to each Buyer on or prior to the Closing Date. The Company shall make any filings and reports relating to the offer and sale of the Securities required under applicable securities or “Blue Sky” laws of the states of the United States following the Closing Date.</w:t>
      </w:r>
    </w:p>
    <w:p>
      <w:pPr>
        <w:spacing w:after="0" w:line="133" w:lineRule="exact"/>
        <w:rPr>
          <w:rFonts w:ascii="Arial" w:cs="Arial" w:eastAsia="Arial" w:hAnsi="Arial"/>
          <w:sz w:val="16"/>
          <w:szCs w:val="16"/>
          <w:color w:val="auto"/>
        </w:rPr>
      </w:pPr>
    </w:p>
    <w:p>
      <w:pPr>
        <w:jc w:val="both"/>
        <w:ind w:firstLine="656"/>
        <w:spacing w:after="0" w:line="272" w:lineRule="auto"/>
        <w:tabs>
          <w:tab w:leader="none" w:pos="1113" w:val="left"/>
        </w:tabs>
        <w:numPr>
          <w:ilvl w:val="1"/>
          <w:numId w:val="3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Reporting Status</w:t>
      </w:r>
      <w:r>
        <w:rPr>
          <w:rFonts w:ascii="Arial" w:cs="Arial" w:eastAsia="Arial" w:hAnsi="Arial"/>
          <w:sz w:val="16"/>
          <w:szCs w:val="16"/>
          <w:color w:val="auto"/>
        </w:rPr>
        <w:t>. Until the earlier of (i) the date on which the Buyers shall have sold all of the Securities, and (ii) none of the Warrants remain outstanding (the “</w:t>
      </w:r>
      <w:r>
        <w:rPr>
          <w:rFonts w:ascii="Arial" w:cs="Arial" w:eastAsia="Arial" w:hAnsi="Arial"/>
          <w:sz w:val="16"/>
          <w:szCs w:val="16"/>
          <w:b w:val="1"/>
          <w:bCs w:val="1"/>
          <w:color w:val="auto"/>
        </w:rPr>
        <w:t>Reporting Period</w:t>
      </w:r>
      <w:r>
        <w:rPr>
          <w:rFonts w:ascii="Arial" w:cs="Arial" w:eastAsia="Arial" w:hAnsi="Arial"/>
          <w:sz w:val="16"/>
          <w:szCs w:val="16"/>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 At any time during the Reporting Period,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and a Registration Statement registering the Warrant Shares is not then in effect to permit the resale of such Warrant Shares (a “</w:t>
      </w:r>
      <w:r>
        <w:rPr>
          <w:rFonts w:ascii="Arial" w:cs="Arial" w:eastAsia="Arial" w:hAnsi="Arial"/>
          <w:sz w:val="16"/>
          <w:szCs w:val="16"/>
          <w:b w:val="1"/>
          <w:bCs w:val="1"/>
          <w:color w:val="auto"/>
        </w:rPr>
        <w:t>Public Information Failure</w:t>
      </w:r>
      <w:r>
        <w:rPr>
          <w:rFonts w:ascii="Arial" w:cs="Arial" w:eastAsia="Arial" w:hAnsi="Arial"/>
          <w:sz w:val="16"/>
          <w:szCs w:val="16"/>
          <w:color w:val="auto"/>
        </w:rPr>
        <w:t>”), then, in addition to each Buyer’s other available remedies, the Company shall pay to each Buyer, in cash, as partial liquidated damages and not as a penalty, by reason of any such delay in or reduction of its ability to sell the Warrant Shares, an amount in cash equal to two percent (2.0%) of the aggregate Exercise Price of each Buyer’s Warrants on the day of a Public Information Failure and on every thirtieth (30</w:t>
      </w:r>
      <w:r>
        <w:rPr>
          <w:rFonts w:ascii="Arial" w:cs="Arial" w:eastAsia="Arial" w:hAnsi="Arial"/>
          <w:sz w:val="22"/>
          <w:szCs w:val="22"/>
          <w:color w:val="auto"/>
          <w:vertAlign w:val="superscript"/>
        </w:rPr>
        <w:t>th</w:t>
      </w:r>
      <w:r>
        <w:rPr>
          <w:rFonts w:ascii="Arial" w:cs="Arial" w:eastAsia="Arial" w:hAnsi="Arial"/>
          <w:sz w:val="16"/>
          <w:szCs w:val="16"/>
          <w:color w:val="auto"/>
        </w:rPr>
        <w:t>) day (prorated for periods totaling less than thirty days) thereafter until the earlier of (a) the date such Public Information Failure is cured and (b) such time that such public information is no longer required for each Buyer to transfer the Warrant Shares pursuant to Rule 144. The payments to which each Buyer shall be entitled pursuant to this Section 4(c) are referred to herein as “</w:t>
      </w:r>
      <w:r>
        <w:rPr>
          <w:rFonts w:ascii="Arial" w:cs="Arial" w:eastAsia="Arial" w:hAnsi="Arial"/>
          <w:sz w:val="16"/>
          <w:szCs w:val="16"/>
          <w:b w:val="1"/>
          <w:bCs w:val="1"/>
          <w:color w:val="auto"/>
        </w:rPr>
        <w:t>Public Information Failure Payments</w:t>
      </w:r>
      <w:r>
        <w:rPr>
          <w:rFonts w:ascii="Arial" w:cs="Arial" w:eastAsia="Arial" w:hAnsi="Arial"/>
          <w:sz w:val="16"/>
          <w:szCs w:val="16"/>
          <w:color w:val="auto"/>
        </w:rPr>
        <w:t>.” Public Information Failure Payments shall be paid on the earlier of (i) the last day of the calendar month during which such Public Information Failure Payments are incurred and (ii) the third (3</w:t>
      </w:r>
      <w:r>
        <w:rPr>
          <w:rFonts w:ascii="Arial" w:cs="Arial" w:eastAsia="Arial" w:hAnsi="Arial"/>
          <w:sz w:val="22"/>
          <w:szCs w:val="22"/>
          <w:color w:val="auto"/>
          <w:vertAlign w:val="superscript"/>
        </w:rPr>
        <w:t>rd</w:t>
      </w:r>
      <w:r>
        <w:rPr>
          <w:rFonts w:ascii="Arial" w:cs="Arial" w:eastAsia="Arial" w:hAnsi="Arial"/>
          <w:sz w:val="16"/>
          <w:szCs w:val="16"/>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each Buyer’s right to pursue actual damages for the Public Information Failure, and each Buyer shall have the right to pursue all remedies available to it at law or in equity including, without limitation, a decree of specific performance and/or injunctive relief.</w:t>
      </w:r>
    </w:p>
    <w:p>
      <w:pPr>
        <w:spacing w:after="0" w:line="147" w:lineRule="exact"/>
        <w:rPr>
          <w:rFonts w:ascii="Arial" w:cs="Arial" w:eastAsia="Arial" w:hAnsi="Arial"/>
          <w:sz w:val="16"/>
          <w:szCs w:val="16"/>
          <w:u w:val="single" w:color="auto"/>
          <w:color w:val="auto"/>
        </w:rPr>
      </w:pPr>
    </w:p>
    <w:p>
      <w:pPr>
        <w:jc w:val="both"/>
        <w:ind w:firstLine="656"/>
        <w:spacing w:after="0" w:line="306" w:lineRule="auto"/>
        <w:tabs>
          <w:tab w:leader="none" w:pos="1069"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will use the proceeds from the sale of the Securities as described in the Prospectus Supplement, but not, directly or indirectly, for (i) except as set forth on Schedule 4(d), the satisfaction of any indebtedness of the Company or any of its Subsidiaries, (ii) the redemption or repurchase of any securities of the Company or any of its Subsidiaries, or (iii) the settlement of any outstanding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-3957320</wp:posOffset>
            </wp:positionV>
            <wp:extent cx="279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jc w:val="both"/>
        <w:ind w:firstLine="656"/>
        <w:spacing w:after="0" w:line="253" w:lineRule="auto"/>
        <w:tabs>
          <w:tab w:leader="none" w:pos="1059"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Unless filed with the SEC through EDGAR and are available to the public through the EDGAR system, the Company shall send the following to each Buyer during the Reporting Period: (i)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(ii) unless the following are widely disseminated via a recognized news release service (such as PR Newswire), on the same day as the release thereof, facsimile copies of all press releases issued by the Company or any of its Subsidiaries, and (iii) copies of any notices and other information made available or given to the stockholders of the Company generally, contemporaneously with the making available or giving thereof to the stockholders.</w:t>
      </w:r>
    </w:p>
    <w:p>
      <w:pPr>
        <w:spacing w:after="0" w:line="158" w:lineRule="exact"/>
        <w:rPr>
          <w:rFonts w:ascii="Arial" w:cs="Arial" w:eastAsia="Arial" w:hAnsi="Arial"/>
          <w:sz w:val="18"/>
          <w:szCs w:val="18"/>
          <w:color w:val="auto"/>
        </w:rPr>
      </w:pPr>
    </w:p>
    <w:p>
      <w:pPr>
        <w:jc w:val="both"/>
        <w:ind w:firstLine="656"/>
        <w:spacing w:after="0" w:line="286" w:lineRule="auto"/>
        <w:tabs>
          <w:tab w:leader="none" w:pos="105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Listing</w:t>
      </w:r>
      <w:r>
        <w:rPr>
          <w:rFonts w:ascii="Arial" w:cs="Arial" w:eastAsia="Arial" w:hAnsi="Arial"/>
          <w:sz w:val="16"/>
          <w:szCs w:val="16"/>
          <w:color w:val="auto"/>
        </w:rPr>
        <w:t>. The Company shall promptly secure the listing or designation for quotation (as the case may be) of all of the Underlying Securities (as defined below)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Underlying Securities on such national securities exchange or automated quotation system. The Company shall maintain the Common Stock’s listing or authorization for quotation (as the case may be) on the Principal Market, The New York Stock Exchange, the NYSE American, The Nasdaq Global Market or The Nasdaq Global Select Market (each, an “</w:t>
      </w:r>
      <w:r>
        <w:rPr>
          <w:rFonts w:ascii="Arial" w:cs="Arial" w:eastAsia="Arial" w:hAnsi="Arial"/>
          <w:sz w:val="16"/>
          <w:szCs w:val="16"/>
          <w:b w:val="1"/>
          <w:bCs w:val="1"/>
          <w:color w:val="auto"/>
        </w:rPr>
        <w:t>Eligible Market</w:t>
      </w:r>
      <w:r>
        <w:rPr>
          <w:rFonts w:ascii="Arial" w:cs="Arial" w:eastAsia="Arial" w:hAnsi="Arial"/>
          <w:sz w:val="16"/>
          <w:szCs w:val="16"/>
          <w:color w:val="auto"/>
        </w:rPr>
        <w:t>”). Neither the Company nor any of its Subsidiaries shall take any action which could be reasonably expected to result in the delisting or suspension of the Common Stock (including, without limitation, the Underlying Securities) on an Eligible Market. The Company shall pay all fees and expenses in connection with satisfying its obligations under this Section 4(f). “</w:t>
      </w:r>
      <w:r>
        <w:rPr>
          <w:rFonts w:ascii="Arial" w:cs="Arial" w:eastAsia="Arial" w:hAnsi="Arial"/>
          <w:sz w:val="16"/>
          <w:szCs w:val="16"/>
          <w:b w:val="1"/>
          <w:bCs w:val="1"/>
          <w:color w:val="auto"/>
        </w:rPr>
        <w:t>Underlying Securities</w:t>
      </w:r>
      <w:r>
        <w:rPr>
          <w:rFonts w:ascii="Arial" w:cs="Arial" w:eastAsia="Arial" w:hAnsi="Arial"/>
          <w:sz w:val="16"/>
          <w:szCs w:val="16"/>
          <w:color w:val="auto"/>
        </w:rPr>
        <w:t>” means the (i) the Common Shares, (ii) the Warrant Shares issuable upon exercise of the Warrants and (iii) any capital stock of the Company issued or issuable with respect to the Common Shares, the Warrants or the Warrant Shares, including, without limitation, (1) as a result of any stock split, stock dividend, recapitalization, exchange or similar event or otherwise and (2) shares of capital stock of the Company into which the shares of Common Stock are converted or exchanged and shares of capital stock of a Successor Entity (as defined in the Warrants) into which the shares of Common Stock are converted or exchanged, in each case, without regard to any limitations on exercise of the Warrants.</w:t>
      </w:r>
    </w:p>
    <w:p>
      <w:pPr>
        <w:spacing w:after="0" w:line="134" w:lineRule="exact"/>
        <w:rPr>
          <w:rFonts w:ascii="Arial" w:cs="Arial" w:eastAsia="Arial" w:hAnsi="Arial"/>
          <w:sz w:val="16"/>
          <w:szCs w:val="16"/>
          <w:color w:val="auto"/>
        </w:rPr>
      </w:pPr>
    </w:p>
    <w:p>
      <w:pPr>
        <w:jc w:val="both"/>
        <w:ind w:firstLine="656"/>
        <w:spacing w:after="0" w:line="294" w:lineRule="auto"/>
        <w:tabs>
          <w:tab w:leader="none" w:pos="1069"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The Company shall be responsible for the payment of any placement agent’s fees, financial advisory fees, transfer agent fees, DTC fees or broker’s commissions (other than for Persons engaged by the Investor) relating to or arising out of the transactions contemplated by the Transaction Documents.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each Buyer.</w:t>
      </w:r>
    </w:p>
    <w:p>
      <w:pPr>
        <w:spacing w:after="0" w:line="129" w:lineRule="exact"/>
        <w:rPr>
          <w:rFonts w:ascii="Arial" w:cs="Arial" w:eastAsia="Arial" w:hAnsi="Arial"/>
          <w:sz w:val="16"/>
          <w:szCs w:val="16"/>
          <w:color w:val="auto"/>
        </w:rPr>
      </w:pPr>
    </w:p>
    <w:p>
      <w:pPr>
        <w:jc w:val="both"/>
        <w:ind w:firstLine="656"/>
        <w:spacing w:after="0" w:line="291" w:lineRule="auto"/>
        <w:tabs>
          <w:tab w:leader="none" w:pos="109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Pledge of Securities</w:t>
      </w:r>
      <w:r>
        <w:rPr>
          <w:rFonts w:ascii="Arial" w:cs="Arial" w:eastAsia="Arial" w:hAnsi="Arial"/>
          <w:sz w:val="16"/>
          <w:szCs w:val="16"/>
          <w:color w:val="auto"/>
        </w:rPr>
        <w:t>. Notwithstanding anything to the contrary contained in this Agreement, the Company acknowledges and agrees that the Securities may be pledged by an Investor in connection with a bona fide margin agreement or other loan or financing arrangement that is secured by the Securities. The pledge of Securities shall not be deemed to be a transfer, sale or assignment of the Securities hereunder, and no Investor effecting a pledge of Securities shall be required to provide the Company with any notice thereof or otherwise make any delivery to the Company pursuant to this Agreement or any other Transaction Document. The Company hereby agrees to execute and deliver such documentation as a pledgee of the Securities may reasonably request in connection with a pledge of the Securities to such pledgee by any Buyer.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jc w:val="both"/>
        <w:ind w:firstLine="656"/>
        <w:spacing w:after="0" w:line="306" w:lineRule="auto"/>
        <w:tabs>
          <w:tab w:leader="none" w:pos="103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Prohibition of Short Sales and Hedging Transactions.</w:t>
      </w:r>
      <w:r>
        <w:rPr>
          <w:rFonts w:ascii="Arial" w:cs="Arial" w:eastAsia="Arial" w:hAnsi="Arial"/>
          <w:sz w:val="16"/>
          <w:szCs w:val="16"/>
          <w:color w:val="auto"/>
        </w:rPr>
        <w:t xml:space="preserve"> During the term of this Agreement, each Buyer and its agents, representatives and affiliates shall not in any manner whatsoever enter into or effect, directly or indirectly, any (i) “short sale” (as such term is defined in Rule 200 of Regulation SHO of the 1934 Act) of the Common Stock, or (ii) hedging transaction, which establishes a net short position with respect to the Common Stock.</w:t>
      </w:r>
    </w:p>
    <w:p>
      <w:pPr>
        <w:spacing w:after="0" w:line="120" w:lineRule="exact"/>
        <w:rPr>
          <w:rFonts w:ascii="Arial" w:cs="Arial" w:eastAsia="Arial" w:hAnsi="Arial"/>
          <w:sz w:val="16"/>
          <w:szCs w:val="16"/>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Disclosure of Transactions and Other Material Information</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jc w:val="both"/>
        <w:ind w:left="660" w:firstLine="1293"/>
        <w:spacing w:after="0" w:line="281" w:lineRule="auto"/>
        <w:tabs>
          <w:tab w:leader="none" w:pos="2338"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Disclosure of Transaction</w:t>
      </w:r>
      <w:r>
        <w:rPr>
          <w:rFonts w:ascii="Arial" w:cs="Arial" w:eastAsia="Arial" w:hAnsi="Arial"/>
          <w:sz w:val="16"/>
          <w:szCs w:val="16"/>
          <w:color w:val="auto"/>
        </w:rPr>
        <w:t>. The Company shall, on or before 9:00 a.m., New York time, on the first (1</w:t>
      </w:r>
      <w:r>
        <w:rPr>
          <w:rFonts w:ascii="Arial" w:cs="Arial" w:eastAsia="Arial" w:hAnsi="Arial"/>
          <w:sz w:val="22"/>
          <w:szCs w:val="22"/>
          <w:color w:val="auto"/>
          <w:vertAlign w:val="superscript"/>
        </w:rPr>
        <w:t>st</w:t>
      </w:r>
      <w:r>
        <w:rPr>
          <w:rFonts w:ascii="Arial" w:cs="Arial" w:eastAsia="Arial" w:hAnsi="Arial"/>
          <w:sz w:val="16"/>
          <w:szCs w:val="16"/>
          <w:color w:val="auto"/>
        </w:rPr>
        <w:t>) Business Day after the date of this Agreement, (i) file with the SEC a Current Report on Form 8-K reasonably acceptable to the Lead Buyer describing all the material terms of the transactions contemplated by the Transaction Documents in the form required by the 1934 Act and attaching all the material Transaction Documents (including, without limitation, this Agreement, the form of Warrant (including all attachments, the “</w:t>
      </w:r>
      <w:r>
        <w:rPr>
          <w:rFonts w:ascii="Arial" w:cs="Arial" w:eastAsia="Arial" w:hAnsi="Arial"/>
          <w:sz w:val="16"/>
          <w:szCs w:val="16"/>
          <w:b w:val="1"/>
          <w:bCs w:val="1"/>
          <w:color w:val="auto"/>
        </w:rPr>
        <w:t>8-K Filing</w:t>
      </w:r>
      <w:r>
        <w:rPr>
          <w:rFonts w:ascii="Arial" w:cs="Arial" w:eastAsia="Arial" w:hAnsi="Arial"/>
          <w:sz w:val="16"/>
          <w:szCs w:val="16"/>
          <w:color w:val="auto"/>
        </w:rPr>
        <w:t>”), and (ii) file with the SEC the Prospectus Supplement pursuant to Rule 424(b) under the 1933 Act specifically relating to the transactions contemplated by, and describing the material terms and conditions of, the Transaction Documents, containing information previously omitted at the time of effectiveness of the Registration Statement in reliance on Rule 430B under the 1933 Act, and disclosing all information relating to the transactions contemplated hereby required to be disclosed in the Registration Statement and the Prospectus as of the date of the Prospectus Supplement, including, without limitation, information required to be disclosed in the section captioned “Plan of Distribution” in the Prospectus. The Company shall permit the Lead Buyer to review and comment upon the 8-K Filing and the Prospectus Supplement within a reasonable time prior to their filing with the SEC, the Company shall give reasonable consideration to all such comments, and the Company shall not file the 8-K Filing or the Prospectus Supplement with the SEC in a form to which the Lead Buyer reasonably objects. Each Buyer shall furnish to the Company such information regarding itself, the Securities beneficially owned by it and the intended method of distribution thereof, including any arrangement between any Buyer and any other Person relating to the sale or distribution of the Securities, as shall be reasonably requested by the Company in connection with the preparation and filing of the Current Report and the Prospectus Supplement, and shall otherwise cooperate with the Company as reasonably requested by the Company in connection with the preparation and filing of the Current Report and the Prospectus Supplement with the SEC. From and after the 8-K Filing,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7" w:name="page28"/>
    <w:bookmarkEnd w:id="27"/>
    <w:p>
      <w:pPr>
        <w:jc w:val="both"/>
        <w:ind w:left="660" w:firstLine="1293"/>
        <w:spacing w:after="0" w:line="286" w:lineRule="auto"/>
        <w:tabs>
          <w:tab w:leader="none" w:pos="2401"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Limitations on Disclosure</w:t>
      </w:r>
      <w:r>
        <w:rPr>
          <w:rFonts w:ascii="Arial" w:cs="Arial" w:eastAsia="Arial" w:hAnsi="Arial"/>
          <w:sz w:val="16"/>
          <w:szCs w:val="16"/>
          <w:color w:val="auto"/>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8-K Filing without the express prior written consent of each Buyer (which may be granted or withheld in each such Buyer’s sole discretion). To the extent that the Company delivers any material, non-public information to any Buyer without such Buyer's consent, the Company hereby covenants and agrees that no Buyer shall not have any duty of confidentiality with respect to, or a duty not to trade on the basis of, such material, non-public information. Subject to the foregoing and other terms of this Agreement, neither the Company nor any of its Subsidiaries shall issue any press releases or any other public statements with respect to the transactions contemplated hereby; provided, however, the Company shall be entitled, without the prior approval of any Buyer, to issue any press release or other public disclosure with respect to such transactions (i) in substantial conformity with the 8-K Filing and contemporaneously therewith, and (ii) as is required by applicable law and regulations (provided that in the case of clause (i) the Lead Buyer shall be consulted by the Company in connection with any such press release or other public disclosure prior to its release). Without the prior written consent of each Buyer (which may be granted or withheld in each Buyer’ sole discretion), the Company shall not (and shall cause each of its Subsidiaries and affiliates to not) disclose the name of any Buyer in any filing, announcement, release or otherwise.</w:t>
      </w:r>
    </w:p>
    <w:p>
      <w:pPr>
        <w:spacing w:after="0" w:line="137" w:lineRule="exact"/>
        <w:rPr>
          <w:rFonts w:ascii="Arial" w:cs="Arial" w:eastAsia="Arial" w:hAnsi="Arial"/>
          <w:sz w:val="16"/>
          <w:szCs w:val="16"/>
          <w:color w:val="auto"/>
        </w:rPr>
      </w:pPr>
    </w:p>
    <w:p>
      <w:pPr>
        <w:jc w:val="both"/>
        <w:ind w:left="660" w:firstLine="1293"/>
        <w:spacing w:after="0" w:line="279" w:lineRule="auto"/>
        <w:tabs>
          <w:tab w:leader="none" w:pos="2436"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Other Confidential Information. Disclosure Failures; Disclosure Delay Payments</w:t>
      </w:r>
      <w:r>
        <w:rPr>
          <w:rFonts w:ascii="Arial" w:cs="Arial" w:eastAsia="Arial" w:hAnsi="Arial"/>
          <w:sz w:val="16"/>
          <w:szCs w:val="16"/>
          <w:color w:val="auto"/>
        </w:rPr>
        <w:t>. In addition to other remedies set forth in this Section 4(j), and without limiting anything set forth in any other Transaction Document, at any time after the Closing Date if the Company, any of its Subsidiaries, or any of their respective officers, directors, employees or agents, provides any Buyer with material non-public information relating to the Company or any of its Subsidiaries (each, the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the Company shall, on or prior to the applicable Required Disclosure Date (as defined below), publicly disclose such Confidential Information on a Current Report on Form 8-K or otherwise (each, a “</w:t>
      </w:r>
      <w:r>
        <w:rPr>
          <w:rFonts w:ascii="Arial" w:cs="Arial" w:eastAsia="Arial" w:hAnsi="Arial"/>
          <w:sz w:val="16"/>
          <w:szCs w:val="16"/>
          <w:b w:val="1"/>
          <w:bCs w:val="1"/>
          <w:color w:val="auto"/>
        </w:rPr>
        <w:t>Disclosure</w:t>
      </w:r>
      <w:r>
        <w:rPr>
          <w:rFonts w:ascii="Arial" w:cs="Arial" w:eastAsia="Arial" w:hAnsi="Arial"/>
          <w:sz w:val="16"/>
          <w:szCs w:val="16"/>
          <w:color w:val="auto"/>
        </w:rPr>
        <w:t>”). From and after such Disclosure, the Company shall have disclosed all Confidential Information provided to each Buyer by the Company or any of its Subsidiaries or any of their respective officers, directors, employees or agents in connection with the transactions contemplated by the Transaction Documents. In addition, effective upon such Disclosure,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 “</w:t>
      </w:r>
      <w:r>
        <w:rPr>
          <w:rFonts w:ascii="Arial" w:cs="Arial" w:eastAsia="Arial" w:hAnsi="Arial"/>
          <w:sz w:val="16"/>
          <w:szCs w:val="16"/>
          <w:b w:val="1"/>
          <w:bCs w:val="1"/>
          <w:color w:val="auto"/>
        </w:rPr>
        <w:t>Required Disclosure Date</w:t>
      </w:r>
      <w:r>
        <w:rPr>
          <w:rFonts w:ascii="Arial" w:cs="Arial" w:eastAsia="Arial" w:hAnsi="Arial"/>
          <w:sz w:val="16"/>
          <w:szCs w:val="16"/>
          <w:color w:val="auto"/>
        </w:rPr>
        <w:t>” means (x) if any Buyer authorized the delivery of such Confidential Information, either (I) if the Company and such Buyer have mutually agreed upon a date (as evidenced by an e-mail or other writing) of Disclosure of such Confidential Information, such agreed upon date or (II) otherwise, the seventh (7</w:t>
      </w:r>
      <w:r>
        <w:rPr>
          <w:rFonts w:ascii="Arial" w:cs="Arial" w:eastAsia="Arial" w:hAnsi="Arial"/>
          <w:sz w:val="22"/>
          <w:szCs w:val="22"/>
          <w:color w:val="auto"/>
          <w:vertAlign w:val="superscript"/>
        </w:rPr>
        <w:t>th</w:t>
      </w:r>
      <w:r>
        <w:rPr>
          <w:rFonts w:ascii="Arial" w:cs="Arial" w:eastAsia="Arial" w:hAnsi="Arial"/>
          <w:sz w:val="16"/>
          <w:szCs w:val="16"/>
          <w:color w:val="auto"/>
        </w:rPr>
        <w:t>) calendar day after the date such Buyer first received any Confidential Information or (y) if such Buyer did not authorize the delivery of such Confidential Information, the first (1</w:t>
      </w:r>
      <w:r>
        <w:rPr>
          <w:rFonts w:ascii="Arial" w:cs="Arial" w:eastAsia="Arial" w:hAnsi="Arial"/>
          <w:sz w:val="22"/>
          <w:szCs w:val="22"/>
          <w:color w:val="auto"/>
          <w:vertAlign w:val="superscript"/>
        </w:rPr>
        <w:t>st</w:t>
      </w:r>
      <w:r>
        <w:rPr>
          <w:rFonts w:ascii="Arial" w:cs="Arial" w:eastAsia="Arial" w:hAnsi="Arial"/>
          <w:sz w:val="16"/>
          <w:szCs w:val="16"/>
          <w:color w:val="auto"/>
        </w:rPr>
        <w:t>) Business Day after such Buyer’s receipt of such Confidential Information..</w:t>
      </w:r>
    </w:p>
    <w:p>
      <w:pPr>
        <w:spacing w:after="0" w:line="45" w:lineRule="exact"/>
        <w:rPr>
          <w:rFonts w:ascii="Arial" w:cs="Arial" w:eastAsia="Arial" w:hAnsi="Arial"/>
          <w:sz w:val="16"/>
          <w:szCs w:val="16"/>
          <w:color w:val="auto"/>
        </w:rPr>
      </w:pPr>
    </w:p>
    <w:p>
      <w:pPr>
        <w:jc w:val="both"/>
        <w:ind w:firstLine="656"/>
        <w:spacing w:after="0" w:line="265" w:lineRule="auto"/>
        <w:tabs>
          <w:tab w:leader="none" w:pos="1069"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Additional Issuance of Securities</w:t>
      </w:r>
      <w:r>
        <w:rPr>
          <w:rFonts w:ascii="Arial" w:cs="Arial" w:eastAsia="Arial" w:hAnsi="Arial"/>
          <w:sz w:val="16"/>
          <w:szCs w:val="16"/>
          <w:color w:val="auto"/>
        </w:rPr>
        <w:t>. So long as any Buyer beneficially owns any Warrants, the Company will not, without the prior written consent of each Buyer holding any Warrant (which may be granted or withheld in such Buyer’s sole discretion), issue any other securities that would cause a breach or default under any of the Warrants. The Company agrees that for the period commencing on the date hereof and ending on the date immediately following the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calendar day after the Closing Date (the “</w:t>
      </w:r>
      <w:r>
        <w:rPr>
          <w:rFonts w:ascii="Arial" w:cs="Arial" w:eastAsia="Arial" w:hAnsi="Arial"/>
          <w:sz w:val="16"/>
          <w:szCs w:val="16"/>
          <w:b w:val="1"/>
          <w:bCs w:val="1"/>
          <w:color w:val="auto"/>
        </w:rPr>
        <w:t>Restricted Period</w:t>
      </w:r>
      <w:r>
        <w:rPr>
          <w:rFonts w:ascii="Arial" w:cs="Arial" w:eastAsia="Arial" w:hAnsi="Arial"/>
          <w:sz w:val="16"/>
          <w:szCs w:val="16"/>
          <w:color w:val="auto"/>
        </w:rPr>
        <w:t>”), neither the Company nor any of its Subsidiaries shall directly or indirectly: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8" w:name="page29"/>
    <w:bookmarkEnd w:id="28"/>
    <w:p>
      <w:pPr>
        <w:jc w:val="both"/>
        <w:ind w:left="4" w:firstLine="1293"/>
        <w:spacing w:after="0" w:line="291" w:lineRule="auto"/>
        <w:tabs>
          <w:tab w:leader="none" w:pos="1696" w:val="left"/>
        </w:tabs>
        <w:numPr>
          <w:ilvl w:val="1"/>
          <w:numId w:val="36"/>
        </w:numPr>
        <w:rPr>
          <w:rFonts w:ascii="Arial" w:cs="Arial" w:eastAsia="Arial" w:hAnsi="Arial"/>
          <w:sz w:val="16"/>
          <w:szCs w:val="16"/>
          <w:color w:val="auto"/>
        </w:rPr>
      </w:pPr>
      <w:r>
        <w:rPr>
          <w:rFonts w:ascii="Arial" w:cs="Arial" w:eastAsia="Arial" w:hAnsi="Arial"/>
          <w:sz w:val="16"/>
          <w:szCs w:val="16"/>
          <w:color w:val="auto"/>
        </w:rPr>
        <w:t>file a registration statement under the 1933 Act relating to securities that are not the Underlying Securities (other than (A) a registration statement on Form S-8, (B) a new shelf registration statement on Form S-3 filed with the SEC prior to the third anniversary of the effective date of the Registration Statement as the successor registration statement to the Registration Statement covering Common Stock and certain other securities of the company (but not with respect to any Subsequent Financing during the Restricted Period), or (C) such supplements or amendments to registration statements that are outstanding and have been declared effective by the SEC as of the date hereof solely to the extent necessary to keep such registration statements effective and available and not with respect to any Subsequent Financing;</w:t>
      </w:r>
    </w:p>
    <w:p>
      <w:pPr>
        <w:spacing w:after="0" w:line="133" w:lineRule="exact"/>
        <w:rPr>
          <w:rFonts w:ascii="Arial" w:cs="Arial" w:eastAsia="Arial" w:hAnsi="Arial"/>
          <w:sz w:val="16"/>
          <w:szCs w:val="16"/>
          <w:color w:val="auto"/>
        </w:rPr>
      </w:pPr>
    </w:p>
    <w:p>
      <w:pPr>
        <w:ind w:left="4" w:firstLine="1293"/>
        <w:spacing w:after="0" w:line="268" w:lineRule="auto"/>
        <w:tabs>
          <w:tab w:leader="none" w:pos="173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amend or modify (whether by an amendment, waiver, exchange of securities, or otherwise) any of the Company’s warrants to purchase Common Stock that are outstanding as of the date hereof;</w:t>
      </w:r>
    </w:p>
    <w:p>
      <w:pPr>
        <w:spacing w:after="0" w:line="145" w:lineRule="exact"/>
        <w:rPr>
          <w:rFonts w:ascii="Arial" w:cs="Arial" w:eastAsia="Arial" w:hAnsi="Arial"/>
          <w:sz w:val="18"/>
          <w:szCs w:val="18"/>
          <w:color w:val="auto"/>
        </w:rPr>
      </w:pPr>
    </w:p>
    <w:p>
      <w:pPr>
        <w:jc w:val="both"/>
        <w:ind w:left="4" w:firstLine="1293"/>
        <w:spacing w:after="0" w:line="301" w:lineRule="auto"/>
        <w:tabs>
          <w:tab w:leader="none" w:pos="1780" w:val="left"/>
        </w:tabs>
        <w:numPr>
          <w:ilvl w:val="1"/>
          <w:numId w:val="36"/>
        </w:numPr>
        <w:rPr>
          <w:rFonts w:ascii="Arial" w:cs="Arial" w:eastAsia="Arial" w:hAnsi="Arial"/>
          <w:sz w:val="15"/>
          <w:szCs w:val="15"/>
          <w:color w:val="auto"/>
        </w:rPr>
      </w:pPr>
      <w:r>
        <w:rPr>
          <w:rFonts w:ascii="Arial" w:cs="Arial" w:eastAsia="Arial" w:hAnsi="Arial"/>
          <w:sz w:val="15"/>
          <w:szCs w:val="15"/>
          <w:color w:val="auto"/>
        </w:rPr>
        <w:t>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Convertible Securities (as defined below), any debt, any preferred stock or any purchase rights or any combination of units thereof (any such issuance, offer, sale, grant, disposition or announcement (whether occurring during the Restricted Period or at any time thereafter) is referred to as a “</w:t>
      </w:r>
      <w:r>
        <w:rPr>
          <w:rFonts w:ascii="Arial" w:cs="Arial" w:eastAsia="Arial" w:hAnsi="Arial"/>
          <w:sz w:val="15"/>
          <w:szCs w:val="15"/>
          <w:b w:val="1"/>
          <w:bCs w:val="1"/>
          <w:color w:val="auto"/>
        </w:rPr>
        <w:t>Subsequent Placement</w:t>
      </w:r>
      <w:r>
        <w:rPr>
          <w:rFonts w:ascii="Arial" w:cs="Arial" w:eastAsia="Arial" w:hAnsi="Arial"/>
          <w:sz w:val="15"/>
          <w:szCs w:val="15"/>
          <w:color w:val="auto"/>
        </w:rPr>
        <w:t>”). Notwithstanding the foregoing, this Section 4(j)(iii) shall not apply in respect of the issuance of (A) any private placement of Common Stock pursuant to Section 4(a)(2) under the 1933 Act or the rules thereunder; (B) shares of Common Stock or standard options to purchase Common Stock to directors, officers or employees of the Company in their capacity as such pursuant to an Approved Stock Plan (as defined below),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Buyer; (C) shares of Common Stock issued upon the conversion or exercise of Convertible Securities (other than standard options to purchase Common Stock issued pursuant to an Approved Stock Plan that are covered by clause</w:t>
      </w:r>
    </w:p>
    <w:p>
      <w:pPr>
        <w:spacing w:after="0" w:line="3" w:lineRule="exact"/>
        <w:rPr>
          <w:rFonts w:ascii="Arial" w:cs="Arial" w:eastAsia="Arial" w:hAnsi="Arial"/>
          <w:sz w:val="15"/>
          <w:szCs w:val="15"/>
          <w:color w:val="auto"/>
        </w:rPr>
      </w:pPr>
    </w:p>
    <w:p>
      <w:pPr>
        <w:jc w:val="both"/>
        <w:ind w:left="4" w:hanging="4"/>
        <w:spacing w:after="0" w:line="300" w:lineRule="auto"/>
        <w:tabs>
          <w:tab w:leader="none" w:pos="314" w:val="left"/>
        </w:tabs>
        <w:numPr>
          <w:ilvl w:val="0"/>
          <w:numId w:val="37"/>
        </w:numPr>
        <w:rPr>
          <w:rFonts w:ascii="Arial" w:cs="Arial" w:eastAsia="Arial" w:hAnsi="Arial"/>
          <w:sz w:val="15"/>
          <w:szCs w:val="15"/>
          <w:color w:val="auto"/>
        </w:rPr>
      </w:pPr>
      <w:r>
        <w:rPr>
          <w:rFonts w:ascii="Arial" w:cs="Arial" w:eastAsia="Arial" w:hAnsi="Arial"/>
          <w:sz w:val="15"/>
          <w:szCs w:val="15"/>
          <w:color w:val="auto"/>
        </w:rPr>
        <w:t>above) issued prior to the date hereof, provided that the conversion, exercise or other method of issuance (as the case may be) of any such Convertible Security is made solely pursuant to the conversion, exercise or other method of issuance (as the case may be) provisions of such Convertible Security that were in effect on the date immediately prior to the date of this Agreement, the conversion, exercise or issuance price of any such Convertible Securities (other than standard options to purchase Common Stock issued pursuant to an Approved Stock Plan that are covered by clause</w:t>
      </w:r>
    </w:p>
    <w:p>
      <w:pPr>
        <w:spacing w:after="0" w:line="1" w:lineRule="exact"/>
        <w:rPr>
          <w:rFonts w:ascii="Arial" w:cs="Arial" w:eastAsia="Arial" w:hAnsi="Arial"/>
          <w:sz w:val="15"/>
          <w:szCs w:val="15"/>
          <w:color w:val="auto"/>
        </w:rPr>
      </w:pPr>
    </w:p>
    <w:p>
      <w:pPr>
        <w:jc w:val="both"/>
        <w:ind w:left="4" w:hanging="4"/>
        <w:spacing w:after="0" w:line="307" w:lineRule="auto"/>
        <w:tabs>
          <w:tab w:leader="none" w:pos="287" w:val="left"/>
        </w:tabs>
        <w:numPr>
          <w:ilvl w:val="0"/>
          <w:numId w:val="38"/>
        </w:numPr>
        <w:rPr>
          <w:rFonts w:ascii="Arial" w:cs="Arial" w:eastAsia="Arial" w:hAnsi="Arial"/>
          <w:sz w:val="15"/>
          <w:szCs w:val="15"/>
          <w:color w:val="auto"/>
        </w:rPr>
      </w:pPr>
      <w:r>
        <w:rPr>
          <w:rFonts w:ascii="Arial" w:cs="Arial" w:eastAsia="Arial" w:hAnsi="Arial"/>
          <w:sz w:val="15"/>
          <w:szCs w:val="15"/>
          <w:color w:val="auto"/>
        </w:rPr>
        <w:t>above) is not lowered, none of such Convertible Securities (other than standard options to purchase Common Stock issued pursuant to an Approved Stock Plan that are covered by clause (B) above) are amended to increase the number of shares issuable thereunder and none of the terms or conditions of any such Convertible Securities (other than standard options to purchase Common Stock issued pursuant to an Approved Stock Plan that are covered by clause (B) above) are otherwise materially changed in any manner that adversely affects any Buyer; (D) the Common Shares, the Warrants and the Warrant Shares (each of the foregoing in clauses (A) through (C), collectively the “</w:t>
      </w:r>
      <w:r>
        <w:rPr>
          <w:rFonts w:ascii="Arial" w:cs="Arial" w:eastAsia="Arial" w:hAnsi="Arial"/>
          <w:sz w:val="15"/>
          <w:szCs w:val="15"/>
          <w:b w:val="1"/>
          <w:bCs w:val="1"/>
          <w:color w:val="auto"/>
        </w:rPr>
        <w:t>Excluded Securities</w:t>
      </w:r>
      <w:r>
        <w:rPr>
          <w:rFonts w:ascii="Arial" w:cs="Arial" w:eastAsia="Arial" w:hAnsi="Arial"/>
          <w:sz w:val="15"/>
          <w:szCs w:val="15"/>
          <w:color w:val="auto"/>
        </w:rPr>
        <w:t>”). “</w:t>
      </w:r>
      <w:r>
        <w:rPr>
          <w:rFonts w:ascii="Arial" w:cs="Arial" w:eastAsia="Arial" w:hAnsi="Arial"/>
          <w:sz w:val="15"/>
          <w:szCs w:val="15"/>
          <w:b w:val="1"/>
          <w:bCs w:val="1"/>
          <w:color w:val="auto"/>
        </w:rPr>
        <w:t>Approved Stock Plan</w:t>
      </w:r>
      <w:r>
        <w:rPr>
          <w:rFonts w:ascii="Arial" w:cs="Arial" w:eastAsia="Arial" w:hAnsi="Arial"/>
          <w:sz w:val="15"/>
          <w:szCs w:val="15"/>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 “</w:t>
      </w:r>
      <w:r>
        <w:rPr>
          <w:rFonts w:ascii="Arial" w:cs="Arial" w:eastAsia="Arial" w:hAnsi="Arial"/>
          <w:sz w:val="15"/>
          <w:szCs w:val="15"/>
          <w:b w:val="1"/>
          <w:bCs w:val="1"/>
          <w:color w:val="auto"/>
        </w:rPr>
        <w:t>Convertible Securities</w:t>
      </w:r>
      <w:r>
        <w:rPr>
          <w:rFonts w:ascii="Arial" w:cs="Arial" w:eastAsia="Arial" w:hAnsi="Arial"/>
          <w:sz w:val="15"/>
          <w:szCs w:val="15"/>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 or</w:t>
      </w:r>
    </w:p>
    <w:p>
      <w:pPr>
        <w:spacing w:after="0" w:line="200" w:lineRule="exact"/>
        <w:rPr>
          <w:sz w:val="20"/>
          <w:szCs w:val="20"/>
          <w:color w:val="auto"/>
        </w:rPr>
      </w:pPr>
    </w:p>
    <w:p>
      <w:pPr>
        <w:spacing w:after="0" w:line="329"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90" w:right="239" w:bottom="1440" w:gutter="0" w:footer="0" w:header="0"/>
        </w:sectPr>
      </w:pPr>
    </w:p>
    <w:bookmarkStart w:id="29" w:name="page30"/>
    <w:bookmarkEnd w:id="29"/>
    <w:p>
      <w:pPr>
        <w:jc w:val="both"/>
        <w:ind w:left="660" w:firstLine="1293"/>
        <w:spacing w:after="0" w:line="259" w:lineRule="auto"/>
        <w:tabs>
          <w:tab w:leader="none" w:pos="2822" w:val="left"/>
        </w:tabs>
        <w:numPr>
          <w:ilvl w:val="1"/>
          <w:numId w:val="39"/>
        </w:numPr>
        <w:rPr>
          <w:rFonts w:ascii="Arial" w:cs="Arial" w:eastAsia="Arial" w:hAnsi="Arial"/>
          <w:sz w:val="18"/>
          <w:szCs w:val="18"/>
          <w:color w:val="auto"/>
        </w:rPr>
      </w:pPr>
      <w:r>
        <w:rPr>
          <w:rFonts w:ascii="Arial" w:cs="Arial" w:eastAsia="Arial" w:hAnsi="Arial"/>
          <w:sz w:val="18"/>
          <w:szCs w:val="18"/>
          <w:color w:val="auto"/>
        </w:rPr>
        <w:t>enter into any financing or related agreement providing for an “at the market” financing conducted on a delayed or continuous basis (as defined in Rule 415(a) under the 1933 Act) (an “</w:t>
      </w:r>
      <w:r>
        <w:rPr>
          <w:rFonts w:ascii="Arial" w:cs="Arial" w:eastAsia="Arial" w:hAnsi="Arial"/>
          <w:sz w:val="18"/>
          <w:szCs w:val="18"/>
          <w:b w:val="1"/>
          <w:bCs w:val="1"/>
          <w:color w:val="auto"/>
        </w:rPr>
        <w:t>ATM Offering</w:t>
      </w:r>
      <w:r>
        <w:rPr>
          <w:rFonts w:ascii="Arial" w:cs="Arial" w:eastAsia="Arial" w:hAnsi="Arial"/>
          <w:sz w:val="18"/>
          <w:szCs w:val="18"/>
          <w:color w:val="auto"/>
        </w:rPr>
        <w:t>”) with any Person whereby the Company or any Subsidiary may sell securities at a future determined price.</w:t>
      </w:r>
    </w:p>
    <w:p>
      <w:pPr>
        <w:spacing w:after="0" w:line="153" w:lineRule="exact"/>
        <w:rPr>
          <w:rFonts w:ascii="Arial" w:cs="Arial" w:eastAsia="Arial" w:hAnsi="Arial"/>
          <w:sz w:val="18"/>
          <w:szCs w:val="18"/>
          <w:color w:val="auto"/>
        </w:rPr>
      </w:pPr>
    </w:p>
    <w:p>
      <w:pPr>
        <w:jc w:val="both"/>
        <w:ind w:firstLine="656"/>
        <w:spacing w:after="0" w:line="287" w:lineRule="auto"/>
        <w:tabs>
          <w:tab w:leader="none" w:pos="104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Reservation of Shares</w:t>
      </w:r>
      <w:r>
        <w:rPr>
          <w:rFonts w:ascii="Arial" w:cs="Arial" w:eastAsia="Arial" w:hAnsi="Arial"/>
          <w:sz w:val="16"/>
          <w:szCs w:val="16"/>
          <w:color w:val="auto"/>
        </w:rPr>
        <w:t>. So long as any portion of any of the Warrants remains outstanding, the Company shall take all action necessary to at all times have authorized, and reserved for the purpose of issuance, no less than 100% of the sum of the maximum number of Warrant Shares issuable upon exercise in full of the Warrants (without regard to any limitations on the exercise of the Warrants set forth therein) (collectively,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provided that at no time shall the number of shares of Common Stock reserved pursuant to this Section 4(k) be reduced other than proportionally in connection with any exercise of the Warrants.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136" w:lineRule="exact"/>
        <w:rPr>
          <w:rFonts w:ascii="Arial" w:cs="Arial" w:eastAsia="Arial" w:hAnsi="Arial"/>
          <w:sz w:val="16"/>
          <w:szCs w:val="16"/>
          <w:color w:val="auto"/>
        </w:rPr>
      </w:pPr>
    </w:p>
    <w:p>
      <w:pPr>
        <w:jc w:val="both"/>
        <w:ind w:firstLine="656"/>
        <w:spacing w:after="0" w:line="259" w:lineRule="auto"/>
        <w:tabs>
          <w:tab w:leader="none" w:pos="111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Conduct of Business</w:t>
      </w:r>
      <w:r>
        <w:rPr>
          <w:rFonts w:ascii="Arial" w:cs="Arial" w:eastAsia="Arial" w:hAnsi="Arial"/>
          <w:sz w:val="18"/>
          <w:szCs w:val="18"/>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53" w:lineRule="exact"/>
        <w:rPr>
          <w:rFonts w:ascii="Arial" w:cs="Arial" w:eastAsia="Arial" w:hAnsi="Arial"/>
          <w:sz w:val="18"/>
          <w:szCs w:val="18"/>
          <w:color w:val="auto"/>
        </w:rPr>
      </w:pPr>
    </w:p>
    <w:p>
      <w:pPr>
        <w:jc w:val="both"/>
        <w:ind w:firstLine="656"/>
        <w:spacing w:after="0" w:line="308" w:lineRule="auto"/>
        <w:tabs>
          <w:tab w:leader="none" w:pos="1069"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Variable Securities</w:t>
      </w:r>
      <w:r>
        <w:rPr>
          <w:rFonts w:ascii="Arial" w:cs="Arial" w:eastAsia="Arial" w:hAnsi="Arial"/>
          <w:sz w:val="15"/>
          <w:szCs w:val="15"/>
          <w:color w:val="auto"/>
        </w:rPr>
        <w:t>. From the date hereof until such time as the Lead Buyer no longer holds any of the Warrants, the Company and each Subsidiary shall be prohibited from effecting or entering into an agreement to effect any Subsequent Placement involving a Variable Rate Transaction. “</w:t>
      </w:r>
      <w:r>
        <w:rPr>
          <w:rFonts w:ascii="Arial" w:cs="Arial" w:eastAsia="Arial" w:hAnsi="Arial"/>
          <w:sz w:val="15"/>
          <w:szCs w:val="15"/>
          <w:b w:val="1"/>
          <w:bCs w:val="1"/>
          <w:color w:val="auto"/>
        </w:rPr>
        <w:t>Variable Rate</w:t>
      </w:r>
      <w:r>
        <w:rPr>
          <w:rFonts w:ascii="Arial" w:cs="Arial" w:eastAsia="Arial" w:hAnsi="Arial"/>
          <w:sz w:val="15"/>
          <w:szCs w:val="15"/>
          <w:color w:val="auto"/>
        </w:rPr>
        <w:t xml:space="preserve"> </w:t>
      </w:r>
      <w:r>
        <w:rPr>
          <w:rFonts w:ascii="Arial" w:cs="Arial" w:eastAsia="Arial" w:hAnsi="Arial"/>
          <w:sz w:val="15"/>
          <w:szCs w:val="15"/>
          <w:b w:val="1"/>
          <w:bCs w:val="1"/>
          <w:color w:val="auto"/>
        </w:rPr>
        <w:t>Transaction</w:t>
      </w:r>
      <w:r>
        <w:rPr>
          <w:rFonts w:ascii="Arial" w:cs="Arial" w:eastAsia="Arial" w:hAnsi="Arial"/>
          <w:sz w:val="15"/>
          <w:szCs w:val="15"/>
          <w:color w:val="auto"/>
        </w:rPr>
        <w:t>” means a transaction in which the Company (A) issues or sells any debt or equity securities that are convertible into, exchangeable or exercisable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 or include the right to receive additional shares of Common Stock either (1) at a conversion price, exercise price or exchange rate or other price that is based upon and/or varies with the trading prices of or quotations for the shares of Common Stock at any time after the initial issuance of such debt or equity securities, or (2)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(B) enters into an “equity line” or similar transaction with any Person other than the Lead Buyer whereby the Company or any Subsidiary may sell securities at a future determined price;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a Variable Rate Transaction shall not include an ATM Offering. The Lead Buyer shall be entitled to obtain injunctive relief against the Company and its Subsidiaries to preclude any such issuance, which remedy shall be in addition to any right to collect damages.</w:t>
      </w:r>
    </w:p>
    <w:p>
      <w:pPr>
        <w:spacing w:after="0" w:line="122" w:lineRule="exact"/>
        <w:rPr>
          <w:rFonts w:ascii="Arial" w:cs="Arial" w:eastAsia="Arial" w:hAnsi="Arial"/>
          <w:sz w:val="15"/>
          <w:szCs w:val="15"/>
          <w:color w:val="auto"/>
        </w:rPr>
      </w:pPr>
    </w:p>
    <w:p>
      <w:pPr>
        <w:jc w:val="both"/>
        <w:ind w:firstLine="656"/>
        <w:spacing w:after="0" w:line="259" w:lineRule="auto"/>
        <w:tabs>
          <w:tab w:leader="none" w:pos="109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Passive Foreign Investment Company</w:t>
      </w:r>
      <w:r>
        <w:rPr>
          <w:rFonts w:ascii="Arial" w:cs="Arial" w:eastAsia="Arial" w:hAnsi="Arial"/>
          <w:sz w:val="18"/>
          <w:szCs w:val="18"/>
          <w:color w:val="auto"/>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153" w:lineRule="exact"/>
        <w:rPr>
          <w:rFonts w:ascii="Arial" w:cs="Arial" w:eastAsia="Arial" w:hAnsi="Arial"/>
          <w:sz w:val="18"/>
          <w:szCs w:val="18"/>
          <w:color w:val="auto"/>
        </w:rPr>
      </w:pPr>
    </w:p>
    <w:p>
      <w:pPr>
        <w:jc w:val="both"/>
        <w:ind w:firstLine="656"/>
        <w:spacing w:after="0" w:line="259" w:lineRule="auto"/>
        <w:tabs>
          <w:tab w:leader="none" w:pos="109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Corporate Existence</w:t>
      </w:r>
      <w:r>
        <w:rPr>
          <w:rFonts w:ascii="Arial" w:cs="Arial" w:eastAsia="Arial" w:hAnsi="Arial"/>
          <w:sz w:val="18"/>
          <w:szCs w:val="18"/>
          <w:color w:val="auto"/>
        </w:rPr>
        <w:t>. So long as any Buyer beneficially owns any portion of any of the Warrants, the Company shall not be party to any Fundamental Transaction (as defined in the Warrants) unless the Company is in compliance with the applicable provisions governing Fundamental Transactions set forth in the Warrants.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 w:name="page31"/>
    <w:bookmarkEnd w:id="30"/>
    <w:p>
      <w:pPr>
        <w:jc w:val="both"/>
        <w:ind w:firstLine="656"/>
        <w:spacing w:after="0" w:line="254" w:lineRule="auto"/>
        <w:tabs>
          <w:tab w:leader="none" w:pos="1083"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Exercise Procedures</w:t>
      </w:r>
      <w:r>
        <w:rPr>
          <w:rFonts w:ascii="Arial" w:cs="Arial" w:eastAsia="Arial" w:hAnsi="Arial"/>
          <w:sz w:val="18"/>
          <w:szCs w:val="18"/>
          <w:color w:val="auto"/>
        </w:rPr>
        <w:t>. The form of Exercise Notice (as defined in the Warrants) included in the Warrants sets forth the totality of the procedures required of the Buyers in order to exercise the Warrants. No legal opinion or other information or instructions shall be required of the Buyers to exercise any portion of any of the Warrants. The Company shall honor exercises of the Warrants and shall deliver the applicable number of Warrant Shares in accordance with the terms, conditions and time periods set forth in the Warrants. Without limiting the preceding sentences, no ink-original Exercise Notice shall be required, nor shall any medallion guarantee (or other type of guarantee or notarization) of any Exercise Notice form be required in order to exercise any portion of any of the Warrants.</w:t>
      </w:r>
    </w:p>
    <w:p>
      <w:pPr>
        <w:spacing w:after="0" w:line="157" w:lineRule="exact"/>
        <w:rPr>
          <w:rFonts w:ascii="Arial" w:cs="Arial" w:eastAsia="Arial" w:hAnsi="Arial"/>
          <w:sz w:val="18"/>
          <w:szCs w:val="18"/>
          <w:color w:val="auto"/>
        </w:rPr>
      </w:pPr>
    </w:p>
    <w:p>
      <w:pPr>
        <w:ind w:firstLine="656"/>
        <w:spacing w:after="0" w:line="268"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Regulation M</w:t>
      </w:r>
      <w:r>
        <w:rPr>
          <w:rFonts w:ascii="Arial" w:cs="Arial" w:eastAsia="Arial" w:hAnsi="Arial"/>
          <w:sz w:val="18"/>
          <w:szCs w:val="18"/>
          <w:color w:val="auto"/>
        </w:rPr>
        <w:t>. The Company will not take any action prohibited by Regulation M under the 1934 Act, in connection with the distribution of the Securities contemplated hereby.</w:t>
      </w:r>
    </w:p>
    <w:p>
      <w:pPr>
        <w:spacing w:after="0" w:line="145" w:lineRule="exact"/>
        <w:rPr>
          <w:rFonts w:ascii="Arial" w:cs="Arial" w:eastAsia="Arial" w:hAnsi="Arial"/>
          <w:sz w:val="18"/>
          <w:szCs w:val="18"/>
          <w:color w:val="auto"/>
        </w:rPr>
      </w:pPr>
    </w:p>
    <w:p>
      <w:pPr>
        <w:ind w:firstLine="656"/>
        <w:spacing w:after="0" w:line="268" w:lineRule="auto"/>
        <w:tabs>
          <w:tab w:leader="none" w:pos="1063"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Passive Foreign Investment Company</w:t>
      </w:r>
      <w:r>
        <w:rPr>
          <w:rFonts w:ascii="Arial" w:cs="Arial" w:eastAsia="Arial" w:hAnsi="Arial"/>
          <w:sz w:val="18"/>
          <w:szCs w:val="18"/>
          <w:color w:val="auto"/>
        </w:rPr>
        <w:t>. The Company shall conduct its business in such a manner as will ensure that the Company will not be deemed to constitute a passive foreign investment company within the meaning of Section 1297 of the Code.</w:t>
      </w:r>
    </w:p>
    <w:p>
      <w:pPr>
        <w:spacing w:after="0" w:line="145" w:lineRule="exact"/>
        <w:rPr>
          <w:rFonts w:ascii="Arial" w:cs="Arial" w:eastAsia="Arial" w:hAnsi="Arial"/>
          <w:sz w:val="18"/>
          <w:szCs w:val="18"/>
          <w:color w:val="auto"/>
        </w:rPr>
      </w:pPr>
    </w:p>
    <w:p>
      <w:pPr>
        <w:jc w:val="both"/>
        <w:ind w:firstLine="656"/>
        <w:spacing w:after="0" w:line="255" w:lineRule="auto"/>
        <w:tabs>
          <w:tab w:leader="none" w:pos="103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General Solicitation</w:t>
      </w:r>
      <w:r>
        <w:rPr>
          <w:rFonts w:ascii="Arial" w:cs="Arial" w:eastAsia="Arial" w:hAnsi="Arial"/>
          <w:sz w:val="18"/>
          <w:szCs w:val="18"/>
          <w:color w:val="auto"/>
        </w:rPr>
        <w:t>. None of the Company, any of its affiliates (as defined in Rule 501(b) under the 1933 Act) or any person acting on behalf of the Company or such affiliate will solicit any offer to buy or offer or sell the Warrants or any Warrant Shares by means of any form of general solicitation or general advertising within the meaning of Regulation D, including: (i) any advertisement, article, notice or other communication published in any newspaper, magazine or similar medium or broadcast over television or radio; and (ii) any seminar or meeting whose attendees have been invited by any general solicitation or general advertising.</w:t>
      </w:r>
    </w:p>
    <w:p>
      <w:pPr>
        <w:spacing w:after="0" w:line="156" w:lineRule="exact"/>
        <w:rPr>
          <w:rFonts w:ascii="Arial" w:cs="Arial" w:eastAsia="Arial" w:hAnsi="Arial"/>
          <w:sz w:val="18"/>
          <w:szCs w:val="18"/>
          <w:color w:val="auto"/>
        </w:rPr>
      </w:pPr>
    </w:p>
    <w:p>
      <w:pPr>
        <w:jc w:val="both"/>
        <w:ind w:firstLine="656"/>
        <w:spacing w:after="0" w:line="290" w:lineRule="auto"/>
        <w:tabs>
          <w:tab w:leader="none" w:pos="1069"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Aggregation; Integration</w:t>
      </w:r>
      <w:r>
        <w:rPr>
          <w:rFonts w:ascii="Arial" w:cs="Arial" w:eastAsia="Arial" w:hAnsi="Arial"/>
          <w:sz w:val="16"/>
          <w:szCs w:val="16"/>
          <w:color w:val="auto"/>
        </w:rPr>
        <w:t>. None of the Company, its Subsidiaries or any of their affiliates, nor any Person acting on their behalf will take, directly or indirectly, shall make any offers or sales of any security or solicited any offers to buy any security, under circumstances that would cause the issuance of any of the Securities to require approval of stockholders of the Company under the rules of the Principal Market. None of the Company, its Subsidiaries, their affiliates nor any Person acting on their behalf will take any action or steps that would (i) require registration of the offer, issuance or sale of the Warrants or any of the Warrant Shares under the 1933 Act, (ii) cause the offer, issuance or sale of the Common Shares, the Warrants or any of the Warrant Shares to any Buyer hereunder to be integrated with any other offering of securities of the Company, or (iii) cause the offer, issuance or sale of any Warrant or any of the Warrant Shares to be integrated with any other offering of securities of the Company.</w:t>
      </w:r>
    </w:p>
    <w:p>
      <w:pPr>
        <w:spacing w:after="0" w:line="131" w:lineRule="exact"/>
        <w:rPr>
          <w:rFonts w:ascii="Arial" w:cs="Arial" w:eastAsia="Arial" w:hAnsi="Arial"/>
          <w:sz w:val="16"/>
          <w:szCs w:val="16"/>
          <w:color w:val="auto"/>
        </w:rPr>
      </w:pPr>
    </w:p>
    <w:p>
      <w:pPr>
        <w:jc w:val="both"/>
        <w:ind w:firstLine="656"/>
        <w:spacing w:after="0" w:line="259" w:lineRule="auto"/>
        <w:tabs>
          <w:tab w:leader="none" w:pos="1083"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each Buyer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53" w:lineRule="exact"/>
        <w:rPr>
          <w:rFonts w:ascii="Arial" w:cs="Arial" w:eastAsia="Arial" w:hAnsi="Arial"/>
          <w:sz w:val="18"/>
          <w:szCs w:val="18"/>
          <w:color w:val="auto"/>
        </w:rPr>
      </w:pPr>
    </w:p>
    <w:p>
      <w:pPr>
        <w:jc w:val="both"/>
        <w:ind w:firstLine="656"/>
        <w:spacing w:after="0" w:line="259" w:lineRule="auto"/>
        <w:tabs>
          <w:tab w:leader="none" w:pos="1108"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Closing Documents.</w:t>
      </w:r>
      <w:r>
        <w:rPr>
          <w:rFonts w:ascii="Arial" w:cs="Arial" w:eastAsia="Arial" w:hAnsi="Arial"/>
          <w:sz w:val="18"/>
          <w:szCs w:val="18"/>
          <w:color w:val="auto"/>
        </w:rPr>
        <w:t xml:space="preserve"> On or prior to fourteen (14) calendar days after the Closing Date, the Company agrees to deliver, or cause to be delivered, to each Buyer and K&amp;L Gates, LLP a complete closing set of the executed Transaction Documents and any other document required to be delivered to any party pursuant to Section 7 hereof or otherwise.</w:t>
      </w:r>
    </w:p>
    <w:p>
      <w:pPr>
        <w:spacing w:after="0" w:line="120"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REGISTER; TRANSFER AGENT INSTRUCTIONS; LEGEND.</w:t>
      </w:r>
    </w:p>
    <w:p>
      <w:pPr>
        <w:spacing w:after="0" w:line="190" w:lineRule="exact"/>
        <w:rPr>
          <w:rFonts w:ascii="Arial" w:cs="Arial" w:eastAsia="Arial" w:hAnsi="Arial"/>
          <w:sz w:val="18"/>
          <w:szCs w:val="18"/>
          <w:b w:val="1"/>
          <w:bCs w:val="1"/>
          <w:color w:val="auto"/>
        </w:rPr>
      </w:pPr>
    </w:p>
    <w:p>
      <w:pPr>
        <w:jc w:val="both"/>
        <w:ind w:firstLine="656"/>
        <w:spacing w:after="0" w:line="294" w:lineRule="auto"/>
        <w:tabs>
          <w:tab w:leader="none" w:pos="1073"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Company shall maintain at its principal executive offices (or such other office or agency of the Company as it may designate by notice to each holder of Securities), a register for the Common Shares and the Warrants in which the Company shall record the name and address of the Person in whose name the Common Shares and the Warrants have been issued (including the name and address of each transferee), the number of Common Shares held by such Person and the number of Warrant Shares issuable upon exercise of the Warrant held by such Person. The Company shall keep the register open and available at all times during business hours for inspection of each Buyer or its legal representatives.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jc w:val="both"/>
        <w:ind w:firstLine="656"/>
        <w:spacing w:after="0" w:line="284" w:lineRule="auto"/>
        <w:tabs>
          <w:tab w:leader="none" w:pos="106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Transfer Agent Instructions</w:t>
      </w:r>
      <w:r>
        <w:rPr>
          <w:rFonts w:ascii="Arial" w:cs="Arial" w:eastAsia="Arial" w:hAnsi="Arial"/>
          <w:sz w:val="16"/>
          <w:szCs w:val="16"/>
          <w:color w:val="auto"/>
        </w:rPr>
        <w:t>. The Company shall issue irrevocable instructions to its Transfer Agent and any subsequent transfer agent in a form acceptable to the Lead Buyer (the “</w:t>
      </w:r>
      <w:r>
        <w:rPr>
          <w:rFonts w:ascii="Arial" w:cs="Arial" w:eastAsia="Arial" w:hAnsi="Arial"/>
          <w:sz w:val="16"/>
          <w:szCs w:val="16"/>
          <w:b w:val="1"/>
          <w:bCs w:val="1"/>
          <w:color w:val="auto"/>
        </w:rPr>
        <w:t>Irrevocable Transfer Agent Instructions</w:t>
      </w:r>
      <w:r>
        <w:rPr>
          <w:rFonts w:ascii="Arial" w:cs="Arial" w:eastAsia="Arial" w:hAnsi="Arial"/>
          <w:sz w:val="16"/>
          <w:szCs w:val="16"/>
          <w:color w:val="auto"/>
        </w:rPr>
        <w:t>”) to issue certificates or credit shares to the applicable balance accounts at DTC, registered in the name of each Buyer or its respective nominee(s), for the Common Shares and the Warrant Shares in such amounts as specified from time to time by each Buyer to the Company upon the exercise of the Warrants (as the case may be). The Company represents and warrants that unless agreed by the Lead Buyer, no instruction other than the Irrevocable Transfer Agent Instructions referred to in this Section 5(b) will be given by the Company to its Transfer Agent with respect to the Securities, and that the Securities shall otherwise be freely transferable on the books and records of the Company, as applicable, to the extent provided in this Agreement and the other Transaction Documents. In the event that such sale, assignment or transfer involves Warrant Shares sold, assigned or transferred pursuant to an effective registration statement or in compliance with Rule 144 (assuming the transferor is not an affiliate of the Company), the transfer agent shall issue such shares to each Buyer, assignee or transferee (as the case may be) without any restrictive legend in accordance with Section 5(c) below. The Company acknowledges that a breach by it of its obligations hereunder will cause irreparable harm to each Buyer. Accordingly, the Company acknowledges that the remedy at law for a breach of its obligations under this Section 5(b) will be inadequate and agrees, in the event of a breach or threatened breach by the Company of the provisions of this Section 5(b), that each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a legal opinion to the Transfer Agent as follows: (i) at the Closing with respect to the Common Shares, (ii) upon each exercise of the Warrants (unless such issuance covered by a prior legal opinion previously delivered to the Transfer Agent), and (iii) on each date a registration statement with respect to the issuance or resale of any of the Warrant Shares is declared effective by the SEC. Any fees (with respect to the Transfer Agent, counsel to the Company or otherwise) associated with the issuance of such opinions or the removal of any legends on any of the Securities shall be borne by the Company.</w:t>
      </w:r>
    </w:p>
    <w:p>
      <w:pPr>
        <w:spacing w:after="0" w:line="146" w:lineRule="exact"/>
        <w:rPr>
          <w:rFonts w:ascii="Arial" w:cs="Arial" w:eastAsia="Arial" w:hAnsi="Arial"/>
          <w:sz w:val="16"/>
          <w:szCs w:val="16"/>
          <w:color w:val="auto"/>
        </w:rPr>
      </w:pPr>
    </w:p>
    <w:p>
      <w:pPr>
        <w:jc w:val="both"/>
        <w:ind w:firstLine="656"/>
        <w:spacing w:after="0" w:line="298" w:lineRule="auto"/>
        <w:tabs>
          <w:tab w:leader="none" w:pos="105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Certificates and any other instruments evidencing the Common Shares. Each Buyer understands that the Warrants and the Warrant Shares are being issued pursuant to an exemption from registration or qualification under the 1933 Act and applicable state securities laws, and except as set forth below, the Warrants and the Warrant Shares shall bear any legend as required by the “blue sky” laws of any state and a restrictive legend in substantially the following form (and a stop-transfer order may be placed against transfer of such stock certificates):</w:t>
      </w:r>
    </w:p>
    <w:p>
      <w:pPr>
        <w:spacing w:after="0" w:line="99" w:lineRule="exact"/>
        <w:rPr>
          <w:sz w:val="20"/>
          <w:szCs w:val="20"/>
          <w:color w:val="auto"/>
        </w:rPr>
      </w:pPr>
    </w:p>
    <w:p>
      <w:pPr>
        <w:jc w:val="both"/>
        <w:ind w:left="660" w:hanging="647"/>
        <w:spacing w:after="0" w:line="290" w:lineRule="auto"/>
        <w:rPr>
          <w:sz w:val="20"/>
          <w:szCs w:val="20"/>
          <w:color w:val="auto"/>
        </w:rPr>
      </w:pPr>
      <w:r>
        <w:rPr>
          <w:rFonts w:ascii="Arial" w:cs="Arial" w:eastAsia="Arial" w:hAnsi="Arial"/>
          <w:sz w:val="16"/>
          <w:szCs w:val="16"/>
          <w:color w:val="auto"/>
        </w:rPr>
        <w:t>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CUSTOMARY FORM,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Removal of Legends</w:t>
      </w:r>
    </w:p>
    <w:p>
      <w:pPr>
        <w:spacing w:after="0" w:line="15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Certificates evidencing the Warrant Shares shall not be required to contain the legend set forth in Section 5(c) above or any other legend (i) while a registration statement covering the resale of such Warrant Shares is effective under the 1933 Act, (ii) following any sale of such Warrant Shares pursuant to Rule 144 (assuming the transferor is not an affiliate of the Company), (iii) if such Warrant Shares are eligible to be sold, assigned or transferred under Rule 144 (provided that the Buyer holding such Warrant Shares provides the Company with reasonable assurances that such Warrant Shares are eligible for sale, assignment or transfer under Rule 144 which shall not include an opinion of counsel), or (iv) if such legend is not required under applicable requirements of the 1933 Act (including, without limitation, controlling judicial interpretations and pronouncements issued by the SEC). If a legend is not required pursuant to the foregoing, the Company shall no later than two (2) Trading Days following the delivery by a Buyer to the Company or the transfer agent (with notice to the Company) of a legended certificate representing such Warrant Shares (endorsed or with stock powers attached, signatures guaranteed, and otherwise in form necessary to affect the reissuance and/or transfer, if applicable), together with any other deliveries from such Buyer as may be required above in this Section 5(c), as directed by such Buyer, either: (A) provided that the Company’s transfer agent is participating in the DTC Fast Automated Securities Transfer Program, credit the aggregate number of Warrant Shares to which such Buyer shall be entitled to such Buyer’s or its designee’s balance account with DTC through its Deposit/Withdrawal at Custodian system or (B) if the Company’s transfer agent is not participating in the DTC Fast Automated Securities Transfer Program, issue and deliver (via reputable overnight courier) to such Buyer, a certificate representing such Warrant Shares that is free from all restrictive and other legends, registered in the name of such Buyer or its designee (the date by which such credit is so required to be made to the balance account of such Buyer’s or such Buyer’s nominee with DTC or such certificate is required to be delivered to such Buyer pursuant to the foregoing is referred to herein as the “</w:t>
      </w:r>
      <w:r>
        <w:rPr>
          <w:rFonts w:ascii="Arial" w:cs="Arial" w:eastAsia="Arial" w:hAnsi="Arial"/>
          <w:sz w:val="16"/>
          <w:szCs w:val="16"/>
          <w:b w:val="1"/>
          <w:bCs w:val="1"/>
          <w:color w:val="auto"/>
        </w:rPr>
        <w:t>Required Delivery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w:t>
      </w:r>
    </w:p>
    <w:p>
      <w:pPr>
        <w:spacing w:after="0" w:line="137" w:lineRule="exact"/>
        <w:rPr>
          <w:sz w:val="20"/>
          <w:szCs w:val="20"/>
          <w:color w:val="auto"/>
        </w:rPr>
      </w:pPr>
    </w:p>
    <w:p>
      <w:pPr>
        <w:jc w:val="both"/>
        <w:ind w:firstLine="656"/>
        <w:spacing w:after="0" w:line="301" w:lineRule="auto"/>
        <w:tabs>
          <w:tab w:leader="none" w:pos="1059" w:val="left"/>
        </w:tabs>
        <w:numPr>
          <w:ilvl w:val="1"/>
          <w:numId w:val="45"/>
        </w:numPr>
        <w:rPr>
          <w:rFonts w:ascii="Arial" w:cs="Arial" w:eastAsia="Arial" w:hAnsi="Arial"/>
          <w:sz w:val="15"/>
          <w:szCs w:val="15"/>
          <w:color w:val="auto"/>
        </w:rPr>
      </w:pPr>
      <w:r>
        <w:rPr>
          <w:rFonts w:ascii="Arial" w:cs="Arial" w:eastAsia="Arial" w:hAnsi="Arial"/>
          <w:sz w:val="15"/>
          <w:szCs w:val="15"/>
          <w:u w:val="single" w:color="auto"/>
          <w:color w:val="auto"/>
        </w:rPr>
        <w:t>Buy-In</w:t>
      </w:r>
      <w:r>
        <w:rPr>
          <w:rFonts w:ascii="Arial" w:cs="Arial" w:eastAsia="Arial" w:hAnsi="Arial"/>
          <w:sz w:val="15"/>
          <w:szCs w:val="15"/>
          <w:color w:val="auto"/>
        </w:rPr>
        <w:t xml:space="preserve">. If the Company fails to so properly deliver such unlegended certificates representing the aggregate number of Warrant Shares to which a Buyer shall be entitled, or so properly credit the aggregate number of Warrant Shares to which </w:t>
      </w:r>
      <w:r>
        <w:rPr>
          <w:rFonts w:ascii="Arial" w:cs="Arial" w:eastAsia="Arial" w:hAnsi="Arial"/>
          <w:sz w:val="15"/>
          <w:szCs w:val="15"/>
          <w:u w:val="single" w:color="auto"/>
          <w:color w:val="auto"/>
        </w:rPr>
        <w:t>such</w:t>
      </w:r>
      <w:r>
        <w:rPr>
          <w:rFonts w:ascii="Arial" w:cs="Arial" w:eastAsia="Arial" w:hAnsi="Arial"/>
          <w:sz w:val="15"/>
          <w:szCs w:val="15"/>
          <w:color w:val="auto"/>
        </w:rPr>
        <w:t xml:space="preserve"> Buyer shall be entitled to </w:t>
      </w:r>
      <w:r>
        <w:rPr>
          <w:rFonts w:ascii="Arial" w:cs="Arial" w:eastAsia="Arial" w:hAnsi="Arial"/>
          <w:sz w:val="15"/>
          <w:szCs w:val="15"/>
          <w:u w:val="single" w:color="auto"/>
          <w:color w:val="auto"/>
        </w:rPr>
        <w:t>such</w:t>
      </w:r>
      <w:r>
        <w:rPr>
          <w:rFonts w:ascii="Arial" w:cs="Arial" w:eastAsia="Arial" w:hAnsi="Arial"/>
          <w:sz w:val="15"/>
          <w:szCs w:val="15"/>
          <w:color w:val="auto"/>
        </w:rPr>
        <w:t xml:space="preserve"> Buyer’s or its designee’s balance account with DTC through its Deposit/Withdrawal at Custodian system, in each case by the Required Delivery Date, then, in addition to all other remedies available to </w:t>
      </w:r>
      <w:r>
        <w:rPr>
          <w:rFonts w:ascii="Arial" w:cs="Arial" w:eastAsia="Arial" w:hAnsi="Arial"/>
          <w:sz w:val="15"/>
          <w:szCs w:val="15"/>
          <w:u w:val="single" w:color="auto"/>
          <w:color w:val="auto"/>
        </w:rPr>
        <w:t>such</w:t>
      </w:r>
      <w:r>
        <w:rPr>
          <w:rFonts w:ascii="Arial" w:cs="Arial" w:eastAsia="Arial" w:hAnsi="Arial"/>
          <w:sz w:val="15"/>
          <w:szCs w:val="15"/>
          <w:color w:val="auto"/>
        </w:rPr>
        <w:t xml:space="preserve"> Buyer, (i) the Company shall, pay to </w:t>
      </w:r>
      <w:r>
        <w:rPr>
          <w:rFonts w:ascii="Arial" w:cs="Arial" w:eastAsia="Arial" w:hAnsi="Arial"/>
          <w:sz w:val="15"/>
          <w:szCs w:val="15"/>
          <w:u w:val="single" w:color="auto"/>
          <w:color w:val="auto"/>
        </w:rPr>
        <w:t>such</w:t>
      </w:r>
      <w:r>
        <w:rPr>
          <w:rFonts w:ascii="Arial" w:cs="Arial" w:eastAsia="Arial" w:hAnsi="Arial"/>
          <w:sz w:val="15"/>
          <w:szCs w:val="15"/>
          <w:color w:val="auto"/>
        </w:rPr>
        <w:t xml:space="preserve"> Buyer, in cash, as partial liquidated damages and not as a penalty, for each $1,000 of Warrant Shares (based on the VWAP of the Common Stock on the date such Warrant Shares are submitted to the Transfer Agent) delivered for removal of the restrictive legend and subject to Section 5(d), $10 per Trading Day (increasing to $20 per Trading Day five (5) Trading Days after such damages have begun to accrue) for each Trading Day after the Legend Removal Date until such certificate is delivered without a legend or such credit to such balance account with DTC is made and</w:t>
      </w:r>
    </w:p>
    <w:p>
      <w:pPr>
        <w:spacing w:after="0" w:line="4" w:lineRule="exact"/>
        <w:rPr>
          <w:rFonts w:ascii="Arial" w:cs="Arial" w:eastAsia="Arial" w:hAnsi="Arial"/>
          <w:sz w:val="15"/>
          <w:szCs w:val="15"/>
          <w:color w:val="auto"/>
        </w:rPr>
      </w:pPr>
    </w:p>
    <w:p>
      <w:pPr>
        <w:jc w:val="both"/>
        <w:ind w:firstLine="8"/>
        <w:spacing w:after="0" w:line="287" w:lineRule="auto"/>
        <w:tabs>
          <w:tab w:leader="none" w:pos="2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if after the Legend Removal Date </w:t>
      </w:r>
      <w:r>
        <w:rPr>
          <w:rFonts w:ascii="Arial" w:cs="Arial" w:eastAsia="Arial" w:hAnsi="Arial"/>
          <w:sz w:val="16"/>
          <w:szCs w:val="16"/>
          <w:u w:val="single" w:color="auto"/>
          <w:color w:val="auto"/>
        </w:rPr>
        <w:t>such</w:t>
      </w:r>
      <w:r>
        <w:rPr>
          <w:rFonts w:ascii="Arial" w:cs="Arial" w:eastAsia="Arial" w:hAnsi="Arial"/>
          <w:sz w:val="16"/>
          <w:szCs w:val="16"/>
          <w:color w:val="auto"/>
        </w:rPr>
        <w:t xml:space="preserve"> Buyer purchases (in an open market transaction or otherwise) shares of Common Stock to deliver in satisfaction of a sale by </w:t>
      </w:r>
      <w:r>
        <w:rPr>
          <w:rFonts w:ascii="Arial" w:cs="Arial" w:eastAsia="Arial" w:hAnsi="Arial"/>
          <w:sz w:val="16"/>
          <w:szCs w:val="16"/>
          <w:u w:val="single" w:color="auto"/>
          <w:color w:val="auto"/>
        </w:rPr>
        <w:t>such</w:t>
      </w:r>
      <w:r>
        <w:rPr>
          <w:rFonts w:ascii="Arial" w:cs="Arial" w:eastAsia="Arial" w:hAnsi="Arial"/>
          <w:sz w:val="16"/>
          <w:szCs w:val="16"/>
          <w:color w:val="auto"/>
        </w:rPr>
        <w:t xml:space="preserve"> Buyer of all or any portion of the number of shares of Common Stock, or a sale of a number of shares of Common Stock equal to all or any portion of the number of shares of Common Stock, that </w:t>
      </w:r>
      <w:r>
        <w:rPr>
          <w:rFonts w:ascii="Arial" w:cs="Arial" w:eastAsia="Arial" w:hAnsi="Arial"/>
          <w:sz w:val="16"/>
          <w:szCs w:val="16"/>
          <w:u w:val="single" w:color="auto"/>
          <w:color w:val="auto"/>
        </w:rPr>
        <w:t>such</w:t>
      </w:r>
      <w:r>
        <w:rPr>
          <w:rFonts w:ascii="Arial" w:cs="Arial" w:eastAsia="Arial" w:hAnsi="Arial"/>
          <w:sz w:val="16"/>
          <w:szCs w:val="16"/>
          <w:color w:val="auto"/>
        </w:rPr>
        <w:t xml:space="preserve"> Buyer anticipated receiving from the Company without any restrictive legend, then an amount equal to the excess of </w:t>
      </w:r>
      <w:r>
        <w:rPr>
          <w:rFonts w:ascii="Arial" w:cs="Arial" w:eastAsia="Arial" w:hAnsi="Arial"/>
          <w:sz w:val="16"/>
          <w:szCs w:val="16"/>
          <w:u w:val="single" w:color="auto"/>
          <w:color w:val="auto"/>
        </w:rPr>
        <w:t>such</w:t>
      </w:r>
      <w:r>
        <w:rPr>
          <w:rFonts w:ascii="Arial" w:cs="Arial" w:eastAsia="Arial" w:hAnsi="Arial"/>
          <w:sz w:val="16"/>
          <w:szCs w:val="16"/>
          <w:color w:val="auto"/>
        </w:rPr>
        <w:t xml:space="preserve"> Buyer’s total purchase price (including brokerage commissions and other out-of-pocket expenses, if any) for the shares of Common Stock so purchased (including brokerage commissions and other out-of-pocket expenses, if any) (the “</w:t>
      </w:r>
      <w:r>
        <w:rPr>
          <w:rFonts w:ascii="Arial" w:cs="Arial" w:eastAsia="Arial" w:hAnsi="Arial"/>
          <w:sz w:val="16"/>
          <w:szCs w:val="16"/>
          <w:b w:val="1"/>
          <w:bCs w:val="1"/>
          <w:color w:val="auto"/>
        </w:rPr>
        <w:t>Buy-In Price</w:t>
      </w:r>
      <w:r>
        <w:rPr>
          <w:rFonts w:ascii="Arial" w:cs="Arial" w:eastAsia="Arial" w:hAnsi="Arial"/>
          <w:sz w:val="16"/>
          <w:szCs w:val="16"/>
          <w:color w:val="auto"/>
        </w:rPr>
        <w:t xml:space="preserve">”) over the product of (A) such number of Warrant Shares that the Company was required to deliver to </w:t>
      </w:r>
      <w:r>
        <w:rPr>
          <w:rFonts w:ascii="Arial" w:cs="Arial" w:eastAsia="Arial" w:hAnsi="Arial"/>
          <w:sz w:val="16"/>
          <w:szCs w:val="16"/>
          <w:u w:val="single" w:color="auto"/>
          <w:color w:val="auto"/>
        </w:rPr>
        <w:t>such</w:t>
      </w:r>
      <w:r>
        <w:rPr>
          <w:rFonts w:ascii="Arial" w:cs="Arial" w:eastAsia="Arial" w:hAnsi="Arial"/>
          <w:sz w:val="16"/>
          <w:szCs w:val="16"/>
          <w:color w:val="auto"/>
        </w:rPr>
        <w:t xml:space="preserve"> Buyer by the Legend Removal Date multiplied by (B) the lowest closing sale price of the Common Stock on any Trading Day during the period commencing on the date of the delivery by </w:t>
      </w:r>
      <w:r>
        <w:rPr>
          <w:rFonts w:ascii="Arial" w:cs="Arial" w:eastAsia="Arial" w:hAnsi="Arial"/>
          <w:sz w:val="16"/>
          <w:szCs w:val="16"/>
          <w:u w:val="single" w:color="auto"/>
          <w:color w:val="auto"/>
        </w:rPr>
        <w:t>such</w:t>
      </w:r>
      <w:r>
        <w:rPr>
          <w:rFonts w:ascii="Arial" w:cs="Arial" w:eastAsia="Arial" w:hAnsi="Arial"/>
          <w:sz w:val="16"/>
          <w:szCs w:val="16"/>
          <w:color w:val="auto"/>
        </w:rPr>
        <w:t xml:space="preserve"> Buyer to the Company of the applicable Warrant Shares (as the case may be) and ending on the date of such delivery and payment under this Section 5(e).</w:t>
      </w:r>
    </w:p>
    <w:p>
      <w:pPr>
        <w:spacing w:after="0" w:line="137" w:lineRule="exact"/>
        <w:rPr>
          <w:rFonts w:ascii="Arial" w:cs="Arial" w:eastAsia="Arial" w:hAnsi="Arial"/>
          <w:sz w:val="16"/>
          <w:szCs w:val="16"/>
          <w:color w:val="auto"/>
        </w:rPr>
      </w:pPr>
    </w:p>
    <w:p>
      <w:pPr>
        <w:ind w:right="20" w:firstLine="656"/>
        <w:spacing w:after="0" w:line="268" w:lineRule="auto"/>
        <w:tabs>
          <w:tab w:leader="none" w:pos="1766" w:val="left"/>
        </w:tabs>
        <w:numPr>
          <w:ilvl w:val="1"/>
          <w:numId w:val="4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FAST Compliance</w:t>
      </w:r>
      <w:r>
        <w:rPr>
          <w:rFonts w:ascii="Arial" w:cs="Arial" w:eastAsia="Arial" w:hAnsi="Arial"/>
          <w:sz w:val="18"/>
          <w:szCs w:val="18"/>
          <w:color w:val="auto"/>
        </w:rPr>
        <w:t>. While any portion of any of the Warrants remains outstanding, the Company shall maintain a transfer agent that participates in the DTC Fast Automated Securities Transfer Program.</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COMPANY’S OBLIGATION TO SELL.</w:t>
      </w:r>
    </w:p>
    <w:p>
      <w:pPr>
        <w:spacing w:after="0" w:line="1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obligation of the Company hereunder to issue and sell the Common Shares and the Warrants to each Buyer at the Closing is subject to the satisfaction, at or before the Closing Date, of each of the following conditions, provided that these conditions are for the Company’s sole benefit and may be waived by the Company at any time in its sole discretion (including with respect to any individual Buyer) by providing the Lead Buyer and any applicable Buyer with prior written notice thereof:</w:t>
      </w:r>
    </w:p>
    <w:p>
      <w:pPr>
        <w:spacing w:after="0" w:line="157" w:lineRule="exact"/>
        <w:rPr>
          <w:sz w:val="20"/>
          <w:szCs w:val="20"/>
          <w:color w:val="auto"/>
        </w:rPr>
      </w:pPr>
    </w:p>
    <w:p>
      <w:pPr>
        <w:ind w:left="1060" w:hanging="404"/>
        <w:spacing w:after="0"/>
        <w:tabs>
          <w:tab w:leader="none" w:pos="1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Each Buyer shall have executed this Agreement and delivered the same to the Company.</w:t>
      </w:r>
    </w:p>
    <w:p>
      <w:pPr>
        <w:spacing w:after="0" w:line="184" w:lineRule="exact"/>
        <w:rPr>
          <w:rFonts w:ascii="Arial" w:cs="Arial" w:eastAsia="Arial" w:hAnsi="Arial"/>
          <w:sz w:val="18"/>
          <w:szCs w:val="18"/>
          <w:color w:val="auto"/>
        </w:rPr>
      </w:pPr>
    </w:p>
    <w:p>
      <w:pPr>
        <w:ind w:right="20" w:firstLine="656"/>
        <w:spacing w:after="0" w:line="268" w:lineRule="auto"/>
        <w:tabs>
          <w:tab w:leader="none" w:pos="1069" w:val="left"/>
        </w:tabs>
        <w:numPr>
          <w:ilvl w:val="1"/>
          <w:numId w:val="48"/>
        </w:numPr>
        <w:rPr>
          <w:rFonts w:ascii="Arial" w:cs="Arial" w:eastAsia="Arial" w:hAnsi="Arial"/>
          <w:sz w:val="18"/>
          <w:szCs w:val="18"/>
          <w:color w:val="auto"/>
        </w:rPr>
      </w:pPr>
      <w:r>
        <w:rPr>
          <w:rFonts w:ascii="Arial" w:cs="Arial" w:eastAsia="Arial" w:hAnsi="Arial"/>
          <w:sz w:val="18"/>
          <w:szCs w:val="18"/>
          <w:color w:val="auto"/>
        </w:rPr>
        <w:t>Each Buyer shall have delivered to the Company the Purchase Price for the Common Shares and the Warrants being purchased by each Buyer at the Closing by wire transfer of immediately available funds in accordance with the Flow of Funds Letter.</w:t>
      </w:r>
    </w:p>
    <w:p>
      <w:pPr>
        <w:spacing w:after="0" w:line="145" w:lineRule="exact"/>
        <w:rPr>
          <w:rFonts w:ascii="Arial" w:cs="Arial" w:eastAsia="Arial" w:hAnsi="Arial"/>
          <w:sz w:val="18"/>
          <w:szCs w:val="18"/>
          <w:color w:val="auto"/>
        </w:rPr>
      </w:pPr>
    </w:p>
    <w:p>
      <w:pPr>
        <w:jc w:val="both"/>
        <w:ind w:firstLine="656"/>
        <w:spacing w:after="0" w:line="298" w:lineRule="auto"/>
        <w:tabs>
          <w:tab w:leader="none" w:pos="1059"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representations and warranties of each Buyer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each Buyer shall have performed, satisfied and complied in all material respects with the covenants, agreements and conditions required by this Agreement to be performed, satisfied or complied with by each Buyer at or prior to the Closing Date.</w:t>
      </w:r>
    </w:p>
    <w:p>
      <w:pPr>
        <w:spacing w:after="0" w:line="93" w:lineRule="exact"/>
        <w:rPr>
          <w:rFonts w:ascii="Arial" w:cs="Arial" w:eastAsia="Arial" w:hAnsi="Arial"/>
          <w:sz w:val="16"/>
          <w:szCs w:val="16"/>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BUYERS’ OBLIGATION TO PURCHASE.</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obligation of each Buyer hereunder to purchase the Common Shares and the Warrants at the Closing is subject to the satisfaction, at or before the</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Closing Date, of each of the following conditions, provided that these conditions are for the Buyers’ sole benefit and may be waived by a Buyer at any time (and with the consent of the Lead Buyer in any case) by providing the Company with prior written notice thereof:</w:t>
      </w:r>
    </w:p>
    <w:p>
      <w:pPr>
        <w:spacing w:after="0" w:line="151" w:lineRule="exact"/>
        <w:rPr>
          <w:sz w:val="20"/>
          <w:szCs w:val="20"/>
          <w:color w:val="auto"/>
        </w:rPr>
      </w:pPr>
    </w:p>
    <w:p>
      <w:pPr>
        <w:jc w:val="both"/>
        <w:ind w:firstLine="656"/>
        <w:spacing w:after="0" w:line="298" w:lineRule="auto"/>
        <w:tabs>
          <w:tab w:leader="none" w:pos="105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shall have duly executed and delivered to each Buyer each of the Transaction Documents, and the Company shall have (A) caused the Transfer Agent to credit the Common Shares purchased by each Buyer to such Buyer’s or its designee’s balance account with DTC through its Deposit/Withdrawal at Custodian system and (B) deliver to each Buyer a Warrant for that number of Warrant Shares set forth opposite each such Buyer’s name on the signature page hereto, duly executed on behalf of the Company and registered in the name of each such Buyer or its designee.</w:t>
      </w:r>
    </w:p>
    <w:p>
      <w:pPr>
        <w:spacing w:after="0" w:line="126" w:lineRule="exact"/>
        <w:rPr>
          <w:rFonts w:ascii="Arial" w:cs="Arial" w:eastAsia="Arial" w:hAnsi="Arial"/>
          <w:sz w:val="16"/>
          <w:szCs w:val="16"/>
          <w:color w:val="auto"/>
        </w:rPr>
      </w:pPr>
    </w:p>
    <w:p>
      <w:pPr>
        <w:ind w:firstLine="656"/>
        <w:spacing w:after="0" w:line="268" w:lineRule="auto"/>
        <w:tabs>
          <w:tab w:leader="none" w:pos="10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Buyer shall have received the opinion of The Disclosure Law Group, a Professional Corporation, the Company’s counsel, dated as of the Closing Date, in the form reasonably acceptable to the Lead Buyer.</w:t>
      </w:r>
    </w:p>
    <w:p>
      <w:pPr>
        <w:spacing w:after="0" w:line="145" w:lineRule="exact"/>
        <w:rPr>
          <w:rFonts w:ascii="Arial" w:cs="Arial" w:eastAsia="Arial" w:hAnsi="Arial"/>
          <w:sz w:val="18"/>
          <w:szCs w:val="18"/>
          <w:color w:val="auto"/>
        </w:rPr>
      </w:pPr>
    </w:p>
    <w:p>
      <w:pPr>
        <w:ind w:firstLine="656"/>
        <w:spacing w:after="0" w:line="268" w:lineRule="auto"/>
        <w:tabs>
          <w:tab w:leader="none" w:pos="10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have delivered to each Buyer a copy of the Irrevocable Transfer Agent Instructions, in the form reasonably acceptable to the Lead Buyer, which instructions shall have been delivered to and acknowledged in writing by the Company’s transfer agent.</w:t>
      </w:r>
    </w:p>
    <w:p>
      <w:pPr>
        <w:spacing w:after="0" w:line="145" w:lineRule="exact"/>
        <w:rPr>
          <w:rFonts w:ascii="Arial" w:cs="Arial" w:eastAsia="Arial" w:hAnsi="Arial"/>
          <w:sz w:val="18"/>
          <w:szCs w:val="18"/>
          <w:color w:val="auto"/>
        </w:rPr>
      </w:pPr>
    </w:p>
    <w:p>
      <w:pPr>
        <w:ind w:firstLine="656"/>
        <w:spacing w:after="0" w:line="268" w:lineRule="auto"/>
        <w:tabs>
          <w:tab w:leader="none" w:pos="10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have delivered to the Lead Buyer a certificate evidencing the formation and good standing of the Company in the State of Nevada issued by the Secretary of State of Nevada as of a date within ten (10) days of the Closing Date.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both"/>
        <w:ind w:firstLine="656"/>
        <w:spacing w:after="0" w:line="259" w:lineRule="auto"/>
        <w:tabs>
          <w:tab w:leader="none" w:pos="10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shall have delivered to the Lead Buyer a certificate evidencing the Company’s qualification as a foreign corporation and good standing issued by the Secretary of State (or comparable office) of each jurisdiction in which the Company conducts business and is required to so qualify, as of a date within ten (10) days of the Closing Date.</w:t>
      </w:r>
    </w:p>
    <w:p>
      <w:pPr>
        <w:spacing w:after="0" w:line="153" w:lineRule="exact"/>
        <w:rPr>
          <w:rFonts w:ascii="Arial" w:cs="Arial" w:eastAsia="Arial" w:hAnsi="Arial"/>
          <w:sz w:val="18"/>
          <w:szCs w:val="18"/>
          <w:color w:val="auto"/>
        </w:rPr>
      </w:pPr>
    </w:p>
    <w:p>
      <w:pPr>
        <w:jc w:val="both"/>
        <w:ind w:firstLine="656"/>
        <w:spacing w:after="0" w:line="306" w:lineRule="auto"/>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shall have delivered to the Lead Buyer a certificate, in the form acceptable to each Buyer, executed by the Secretary of the Company and dated as of the Closing Date, as to (i) the resolutions consistent with Section 3(b) as adopted by the Company’s board of directors in a form reasonably acceptable to the Lead Buyer, (ii) the Articles of Incorporation of the Company and (iii) the Bylaws of the Company, each as in effect at the Closing.</w:t>
      </w:r>
    </w:p>
    <w:p>
      <w:pPr>
        <w:spacing w:after="0" w:line="120" w:lineRule="exact"/>
        <w:rPr>
          <w:rFonts w:ascii="Arial" w:cs="Arial" w:eastAsia="Arial" w:hAnsi="Arial"/>
          <w:sz w:val="16"/>
          <w:szCs w:val="16"/>
          <w:color w:val="auto"/>
        </w:rPr>
      </w:pPr>
    </w:p>
    <w:p>
      <w:pPr>
        <w:jc w:val="both"/>
        <w:ind w:firstLine="656"/>
        <w:spacing w:after="0" w:line="254" w:lineRule="auto"/>
        <w:tabs>
          <w:tab w:leader="none" w:pos="1083"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and every representation and warranty of the Company shall be true and correct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 Date. The Lead Buyer shall have received a certificate, duly executed by the Chief Executive Officer of the Company, dated as of the Closing Date, to the foregoing effect and as to such other matters as may be reasonably requested by each Buyer in the form acceptable to the Lead Buyer.</w:t>
      </w:r>
    </w:p>
    <w:p>
      <w:pPr>
        <w:spacing w:after="0" w:line="157" w:lineRule="exact"/>
        <w:rPr>
          <w:rFonts w:ascii="Arial" w:cs="Arial" w:eastAsia="Arial" w:hAnsi="Arial"/>
          <w:sz w:val="18"/>
          <w:szCs w:val="18"/>
          <w:color w:val="auto"/>
        </w:rPr>
      </w:pPr>
    </w:p>
    <w:p>
      <w:pPr>
        <w:ind w:firstLine="656"/>
        <w:spacing w:after="0" w:line="268" w:lineRule="auto"/>
        <w:tabs>
          <w:tab w:leader="none" w:pos="109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shall have delivered to the Lead Buyer a letter from the Transfer Agent certifying the number of shares of Common Stock outstanding on the Closing Date immediately prior to the Closing.</w:t>
      </w:r>
    </w:p>
    <w:p>
      <w:pPr>
        <w:spacing w:after="0" w:line="145" w:lineRule="exact"/>
        <w:rPr>
          <w:rFonts w:ascii="Arial" w:cs="Arial" w:eastAsia="Arial" w:hAnsi="Arial"/>
          <w:sz w:val="18"/>
          <w:szCs w:val="18"/>
          <w:color w:val="auto"/>
        </w:rPr>
      </w:pPr>
    </w:p>
    <w:p>
      <w:pPr>
        <w:jc w:val="both"/>
        <w:ind w:firstLine="656"/>
        <w:spacing w:after="0" w:line="256" w:lineRule="auto"/>
        <w:tabs>
          <w:tab w:leader="none" w:pos="10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Common Stock (A) shall be designated for quotation or listed (as applicable) on the Principal Market and (B) shall not have been suspended, as of the Closing Date, by the SEC or the Principal Market from trading on the Principal Market nor shall suspension by the SEC or the Principal Market have been threatened, as of the Closing Date, either (I) in writing by the SEC or the Principal Market or (II) by falling below the minimum maintenance requirements of the Principal Market.</w:t>
      </w:r>
    </w:p>
    <w:p>
      <w:pPr>
        <w:spacing w:after="0" w:line="156" w:lineRule="exact"/>
        <w:rPr>
          <w:rFonts w:ascii="Arial" w:cs="Arial" w:eastAsia="Arial" w:hAnsi="Arial"/>
          <w:sz w:val="18"/>
          <w:szCs w:val="18"/>
          <w:color w:val="auto"/>
        </w:rPr>
      </w:pPr>
    </w:p>
    <w:p>
      <w:pPr>
        <w:ind w:firstLine="656"/>
        <w:spacing w:after="0" w:line="268" w:lineRule="auto"/>
        <w:tabs>
          <w:tab w:leader="none" w:pos="10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shall have obtained all governmental, regulatory or third party consents and approvals, if any, necessary for the sale of the Securities, including without limitation, those required by the Principal Market, if any.</w:t>
      </w:r>
    </w:p>
    <w:p>
      <w:pPr>
        <w:spacing w:after="0" w:line="145" w:lineRule="exact"/>
        <w:rPr>
          <w:rFonts w:ascii="Arial" w:cs="Arial" w:eastAsia="Arial" w:hAnsi="Arial"/>
          <w:sz w:val="18"/>
          <w:szCs w:val="18"/>
          <w:color w:val="auto"/>
        </w:rPr>
      </w:pPr>
    </w:p>
    <w:p>
      <w:pPr>
        <w:ind w:firstLine="656"/>
        <w:spacing w:after="0" w:line="332" w:lineRule="auto"/>
        <w:tabs>
          <w:tab w:leader="none" w:pos="1069"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98" w:lineRule="exact"/>
        <w:rPr>
          <w:rFonts w:ascii="Arial" w:cs="Arial" w:eastAsia="Arial" w:hAnsi="Arial"/>
          <w:sz w:val="16"/>
          <w:szCs w:val="16"/>
          <w:color w:val="auto"/>
        </w:rPr>
      </w:pPr>
    </w:p>
    <w:p>
      <w:pPr>
        <w:ind w:firstLine="656"/>
        <w:spacing w:after="0" w:line="268" w:lineRule="auto"/>
        <w:tabs>
          <w:tab w:leader="none" w:pos="10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Since the date of execution of this Agreement, no event or series of events shall have occurred that reasonably would have or result in a Material Adverse Effect.</w:t>
      </w:r>
    </w:p>
    <w:p>
      <w:pPr>
        <w:spacing w:after="0" w:line="145" w:lineRule="exact"/>
        <w:rPr>
          <w:rFonts w:ascii="Arial" w:cs="Arial" w:eastAsia="Arial" w:hAnsi="Arial"/>
          <w:sz w:val="18"/>
          <w:szCs w:val="18"/>
          <w:color w:val="auto"/>
        </w:rPr>
      </w:pPr>
    </w:p>
    <w:p>
      <w:pPr>
        <w:ind w:firstLine="656"/>
        <w:spacing w:after="0" w:line="268" w:lineRule="auto"/>
        <w:tabs>
          <w:tab w:leader="none" w:pos="11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shall have submitted notice to the Principal Market to list or designate for quotation (as the case may be) the Common Shares and the Warrant Shares.</w:t>
      </w:r>
    </w:p>
    <w:p>
      <w:pPr>
        <w:spacing w:after="0" w:line="145" w:lineRule="exact"/>
        <w:rPr>
          <w:rFonts w:ascii="Arial" w:cs="Arial" w:eastAsia="Arial" w:hAnsi="Arial"/>
          <w:sz w:val="18"/>
          <w:szCs w:val="18"/>
          <w:color w:val="auto"/>
        </w:rPr>
      </w:pPr>
    </w:p>
    <w:p>
      <w:pPr>
        <w:ind w:firstLine="656"/>
        <w:spacing w:after="0" w:line="268" w:lineRule="auto"/>
        <w:tabs>
          <w:tab w:leader="none" w:pos="108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Lead Buyer shall have received a letter on the letterhead of the Company, duly executed by the Chief Executive Officer of the Company, setting forth the wire transfer instructions of the Company (the “</w:t>
      </w:r>
      <w:r>
        <w:rPr>
          <w:rFonts w:ascii="Arial" w:cs="Arial" w:eastAsia="Arial" w:hAnsi="Arial"/>
          <w:sz w:val="18"/>
          <w:szCs w:val="18"/>
          <w:b w:val="1"/>
          <w:bCs w:val="1"/>
          <w:color w:val="auto"/>
        </w:rPr>
        <w:t>Flow of Funds Letter</w:t>
      </w:r>
      <w:r>
        <w:rPr>
          <w:rFonts w:ascii="Arial" w:cs="Arial" w:eastAsia="Arial" w:hAnsi="Arial"/>
          <w:sz w:val="18"/>
          <w:szCs w:val="18"/>
          <w:color w:val="auto"/>
        </w:rPr>
        <w: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 w:name="page36"/>
    <w:bookmarkEnd w:id="35"/>
    <w:p>
      <w:pPr>
        <w:jc w:val="both"/>
        <w:ind w:firstLine="656"/>
        <w:spacing w:after="0" w:line="290" w:lineRule="auto"/>
        <w:tabs>
          <w:tab w:leader="none" w:pos="1083" w:val="left"/>
        </w:tabs>
        <w:numPr>
          <w:ilvl w:val="1"/>
          <w:numId w:val="52"/>
        </w:numPr>
        <w:rPr>
          <w:rFonts w:ascii="Arial" w:cs="Arial" w:eastAsia="Arial" w:hAnsi="Arial"/>
          <w:sz w:val="16"/>
          <w:szCs w:val="16"/>
          <w:color w:val="auto"/>
        </w:rPr>
      </w:pPr>
      <w:r>
        <w:rPr>
          <w:rFonts w:ascii="Arial" w:cs="Arial" w:eastAsia="Arial" w:hAnsi="Arial"/>
          <w:sz w:val="16"/>
          <w:szCs w:val="16"/>
          <w:color w:val="auto"/>
        </w:rPr>
        <w:t>From the date hereof to the Closing Date, (i) trading in the Common Stock shall not have been suspended by the SEC or the Principal Market (except for any suspension of trading of limited duration agreed to by the Company, which suspension shall be terminated prior to the Closing), and, (ii) at any time prior to the Closing Date, trading in securities generally as reported by the Principal Market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any Buyer, makes it impracticable or inadvisable to purchase the Securities at the Closing.</w:t>
      </w:r>
    </w:p>
    <w:p>
      <w:pPr>
        <w:spacing w:after="0" w:line="131" w:lineRule="exact"/>
        <w:rPr>
          <w:rFonts w:ascii="Arial" w:cs="Arial" w:eastAsia="Arial" w:hAnsi="Arial"/>
          <w:sz w:val="16"/>
          <w:szCs w:val="16"/>
          <w:color w:val="auto"/>
        </w:rPr>
      </w:pPr>
    </w:p>
    <w:p>
      <w:pPr>
        <w:ind w:right="20" w:firstLine="656"/>
        <w:spacing w:after="0" w:line="268" w:lineRule="auto"/>
        <w:tabs>
          <w:tab w:leader="none" w:pos="10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Registration Statement shall be effective and available for the issuance and sale to the Buyers hereunder of an aggregate of 3,870,077 Common Shares.</w:t>
      </w:r>
    </w:p>
    <w:p>
      <w:pPr>
        <w:spacing w:after="0" w:line="145" w:lineRule="exact"/>
        <w:rPr>
          <w:rFonts w:ascii="Arial" w:cs="Arial" w:eastAsia="Arial" w:hAnsi="Arial"/>
          <w:sz w:val="18"/>
          <w:szCs w:val="18"/>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5"/>
          <w:szCs w:val="15"/>
          <w:color w:val="auto"/>
        </w:rPr>
        <w:t>The Company shall have delivered to each Buyer the Prospectus and the Prospectus Supplement (which may be delivered in accordance with Rule</w:t>
      </w:r>
    </w:p>
    <w:p>
      <w:pPr>
        <w:spacing w:after="0" w:line="49" w:lineRule="exact"/>
        <w:rPr>
          <w:rFonts w:ascii="Arial" w:cs="Arial" w:eastAsia="Arial" w:hAnsi="Arial"/>
          <w:sz w:val="15"/>
          <w:szCs w:val="15"/>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under the 1933 Act).</w:t>
      </w:r>
    </w:p>
    <w:p>
      <w:pPr>
        <w:spacing w:after="0" w:line="178" w:lineRule="exact"/>
        <w:rPr>
          <w:rFonts w:ascii="Arial" w:cs="Arial" w:eastAsia="Arial" w:hAnsi="Arial"/>
          <w:sz w:val="18"/>
          <w:szCs w:val="18"/>
          <w:color w:val="auto"/>
        </w:rPr>
      </w:pPr>
    </w:p>
    <w:p>
      <w:pPr>
        <w:ind w:right="20" w:firstLine="656"/>
        <w:spacing w:after="0" w:line="268" w:lineRule="auto"/>
        <w:tabs>
          <w:tab w:leader="none" w:pos="10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shall have delivered to each Buyer such other documents, instruments or certificates relating to the transactions contemplated by this Agreement as each Buyer or its counsel may reasonably request.</w:t>
      </w:r>
    </w:p>
    <w:p>
      <w:pPr>
        <w:spacing w:after="0" w:line="112"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event that the Closing shall not have occurred within five (5) days of the date hereof, then each Buyer (with the Consent of the Lead Buyer) shall have the right to terminate its obligations under this Agreement at any time on or after the close of business on such date without liability of such Buyer to the Company; provided, however, the right to terminate this Agreement under this Section 8 shall not be available to a Buyer if the failure of the transactions contemplated by this Agreement to have been consummated by such date is the result of such Buyer’s breach of this Agreement.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9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90" w:lineRule="exact"/>
        <w:rPr>
          <w:rFonts w:ascii="Arial" w:cs="Arial" w:eastAsia="Arial" w:hAnsi="Arial"/>
          <w:sz w:val="18"/>
          <w:szCs w:val="18"/>
          <w:b w:val="1"/>
          <w:bCs w:val="1"/>
          <w:color w:val="auto"/>
        </w:rPr>
      </w:pPr>
    </w:p>
    <w:p>
      <w:pPr>
        <w:jc w:val="both"/>
        <w:ind w:firstLine="656"/>
        <w:spacing w:after="0" w:line="282" w:lineRule="auto"/>
        <w:tabs>
          <w:tab w:leader="none" w:pos="1073"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hereby irrevocably submits to the exclusive jurisdiction of the state and federal courts sitting in Wilmington, Delaware,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Arial" w:cs="Arial" w:eastAsia="Arial" w:hAnsi="Arial"/>
          <w:sz w:val="16"/>
          <w:szCs w:val="16"/>
          <w:b w:val="1"/>
          <w:bCs w:val="1"/>
          <w:color w:val="auto"/>
        </w:rPr>
        <w:t>EACH PARTY HEREBY IRREVOCABLY WAIVES ANY</w:t>
      </w:r>
    </w:p>
    <w:p>
      <w:pPr>
        <w:spacing w:after="0" w:line="5"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jc w:val="both"/>
        <w:ind w:firstLine="656"/>
        <w:spacing w:after="0" w:line="255" w:lineRule="auto"/>
        <w:tabs>
          <w:tab w:leader="none" w:pos="109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56" w:lineRule="exact"/>
        <w:rPr>
          <w:rFonts w:ascii="Arial" w:cs="Arial" w:eastAsia="Arial" w:hAnsi="Arial"/>
          <w:sz w:val="18"/>
          <w:szCs w:val="18"/>
          <w:color w:val="auto"/>
        </w:rPr>
      </w:pPr>
    </w:p>
    <w:p>
      <w:pPr>
        <w:jc w:val="both"/>
        <w:ind w:firstLine="656"/>
        <w:spacing w:after="0" w:line="298" w:lineRule="auto"/>
        <w:tabs>
          <w:tab w:leader="none" w:pos="1059"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Headings; Gender</w:t>
      </w:r>
      <w:r>
        <w:rPr>
          <w:rFonts w:ascii="Arial" w:cs="Arial" w:eastAsia="Arial" w:hAnsi="Arial"/>
          <w:sz w:val="16"/>
          <w:szCs w:val="16"/>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26" w:lineRule="exact"/>
        <w:rPr>
          <w:rFonts w:ascii="Arial" w:cs="Arial" w:eastAsia="Arial" w:hAnsi="Arial"/>
          <w:sz w:val="16"/>
          <w:szCs w:val="16"/>
          <w:color w:val="auto"/>
        </w:rPr>
      </w:pPr>
    </w:p>
    <w:p>
      <w:pPr>
        <w:jc w:val="both"/>
        <w:ind w:firstLine="656"/>
        <w:spacing w:after="0" w:line="284" w:lineRule="auto"/>
        <w:tabs>
          <w:tab w:leader="none" w:pos="1083"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Severability; Maximum Payment Amounts</w:t>
      </w:r>
      <w:r>
        <w:rPr>
          <w:rFonts w:ascii="Arial" w:cs="Arial" w:eastAsia="Arial" w:hAnsi="Arial"/>
          <w:sz w:val="16"/>
          <w:szCs w:val="16"/>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 Buyer, or collection by a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p>
      <w:pPr>
        <w:jc w:val="both"/>
        <w:ind w:firstLine="656"/>
        <w:spacing w:after="0" w:line="284" w:lineRule="auto"/>
        <w:tabs>
          <w:tab w:leader="none" w:pos="1059"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and this Agreement, the other Transaction Documents, the schedules and exhibits attached hereto and thereto and the instruments referenced herein and therein contain the entire understanding of the parties solely with respect to the matters covered herein and therein. Except as specifically set forth herein or therein, neither the Company nor any Buyer makes any representation, warranty, covenant or undertaking with respect to such matters. For clarification purposes, the Recitals are part of this Agreement. Provisions of this Agreement may be amended only with the written consent of the Company and the Lead Buyer, except in the case of any covenant or other obligations applicable to all of the Buyers shall require the consent of each Buyer. Any amendment of any provision of this Agreement made in conformity with the provisions of this Section 9(e) shall be binding upon each Buyer and the Company. No waiver shall be effective unless it is in writing and signed by an authorized representative of the waiving party, and any waiver of any provision of this Agreement made in conformity with the provisions of this Section 9(e) shall be binding on the waiving party. The Company has not, directly or indirectly, made any agreements with any Buyer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the Buyers to enter into this Agreement, the Company expressly acknowledges and agrees that (i) no due diligence or other investigation or inquiry conducted by any Buyer, any of its advisors or any of its representatives shall affect such Buyer’s right to rely on, or shall modify or qualify in any manner or be an exception to any of, the Company’s representations and warranties contained in this Agreement or any other Transaction Document, (ii) nothing contained in the Registration Statement, the Prospectus or the Prospectus Supplement shall affect any Buyer’s right to rely on, or shall modify or qualify in any manner or be an exception to any of, the Company’s representations and warranties contained in this Agreement or any other Transaction Document and (iii) unless a provision of this Agreement or any other Transaction Document is expressly preceded by the phrase “except as disclosed in the SEC Documents,” nothing contained in any of the SEC Documents shall affect any Buyer’s right to rely on, or shall modify or qualify in any manner or be an exception to any of, the Company’s representations and warranties contained in this Agreement or any other Transaction Document.</w:t>
      </w:r>
    </w:p>
    <w:p>
      <w:pPr>
        <w:spacing w:after="0" w:line="141" w:lineRule="exact"/>
        <w:rPr>
          <w:rFonts w:ascii="Arial" w:cs="Arial" w:eastAsia="Arial" w:hAnsi="Arial"/>
          <w:sz w:val="16"/>
          <w:szCs w:val="16"/>
          <w:color w:val="auto"/>
        </w:rPr>
      </w:pPr>
    </w:p>
    <w:p>
      <w:pPr>
        <w:jc w:val="both"/>
        <w:ind w:firstLine="656"/>
        <w:spacing w:after="0" w:line="294" w:lineRule="auto"/>
        <w:tabs>
          <w:tab w:leader="none" w:pos="104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electronic mail; or (iii) one (1) Business Day after deposit with an overnight courier service with next day delivery specified, in each case, properly addressed to the party to receive the same. The addresses, facsimile numbers and e-mail addresses for such communications shall be: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If to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650-577-3600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Shawn Singh,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ssingh@vistagen.com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With a copy (for informational purposes only)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Law Group, a Professional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655 West Broadway, Suite 870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619-272-7062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Daniel W. Rumsey,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drumsey@disclosurelawgroup.com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If to the Transfer Agent: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8742 Lucent Blvd., Suite 225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Highlands Ranch, CO 80129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303-262-0637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303-262-0609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Audrey Matheney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audrey.matheny@computershare.com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If to the Lead Buyer: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Lincoln Park Capital Fund,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440 North Wells, Suite 410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312.822.9300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312.822.9301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jscheinfeld@lpcfunds.com/jcope@lpcfunds.com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Josh Scheinfeld/Jonathan Cope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with a copy (for informational purposes only)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K&amp;L Gates,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 S. Biscayne Blvd., Ste. 3900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Florida 33131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(305) 539-3306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(305) 538-7095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clayton.parker@klgates.com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Clayton E. Parker, Esq.</w:t>
      </w:r>
    </w:p>
    <w:p>
      <w:pPr>
        <w:spacing w:after="0" w:line="200" w:lineRule="exact"/>
        <w:rPr>
          <w:sz w:val="20"/>
          <w:szCs w:val="20"/>
          <w:color w:val="auto"/>
        </w:rPr>
      </w:pPr>
    </w:p>
    <w:p>
      <w:pPr>
        <w:spacing w:after="0" w:line="39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725" w:right="1440" w:bottom="1440" w:gutter="0" w:footer="0" w:header="0"/>
        </w:sectPr>
      </w:pPr>
    </w:p>
    <w:bookmarkStart w:id="39" w:name="page40"/>
    <w:bookmarkEnd w:id="39"/>
    <w:p>
      <w:pPr>
        <w:ind w:left="500"/>
        <w:spacing w:after="0"/>
        <w:rPr>
          <w:sz w:val="20"/>
          <w:szCs w:val="20"/>
          <w:color w:val="auto"/>
        </w:rPr>
      </w:pPr>
      <w:r>
        <w:rPr>
          <w:rFonts w:ascii="Arial" w:cs="Arial" w:eastAsia="Arial" w:hAnsi="Arial"/>
          <w:sz w:val="18"/>
          <w:szCs w:val="18"/>
          <w:color w:val="auto"/>
        </w:rPr>
        <w:t>If to a Buyer other than the Lead Buyer, at the address set forth opposite such Buyer’s signature on the signature page hereto.</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 to such other address, e-mail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or e-mail containing the time, date, recipient facsimile number and, with respect to each facsimile transmission,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spacing w:after="0" w:line="158" w:lineRule="exact"/>
        <w:rPr>
          <w:sz w:val="20"/>
          <w:szCs w:val="20"/>
          <w:color w:val="auto"/>
        </w:rPr>
      </w:pPr>
    </w:p>
    <w:p>
      <w:pPr>
        <w:jc w:val="both"/>
        <w:ind w:firstLine="656"/>
        <w:spacing w:after="0" w:line="314" w:lineRule="auto"/>
        <w:tabs>
          <w:tab w:leader="none" w:pos="1069"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This Agreement shall be binding upon and inure to the benefit of the parties and their respective successors and assigns, including any subsequent purchasers of any of the Warrants (but excluding any purchasers of Underlying Securities, unless pursuant to a written assignment by a Buyer). The Company shall not assign this Agreement or any rights or obligations hereunder without the prior written consent of the Lead Buyer, including, without limitation, by way of a Fundamental Transaction (as defined in the Warrants) (unless the Company is in compliance with the applicable provisions governing Fundamental Transactions set forth in the Warrants). Each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118" w:lineRule="exact"/>
        <w:rPr>
          <w:rFonts w:ascii="Arial" w:cs="Arial" w:eastAsia="Arial" w:hAnsi="Arial"/>
          <w:sz w:val="15"/>
          <w:szCs w:val="15"/>
          <w:color w:val="auto"/>
        </w:rPr>
      </w:pPr>
    </w:p>
    <w:p>
      <w:pPr>
        <w:ind w:firstLine="656"/>
        <w:spacing w:after="0" w:line="332" w:lineRule="auto"/>
        <w:tabs>
          <w:tab w:leader="none" w:pos="109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This Agreement is intended for the benefit of the parties hereto and their respective permitted successors and assigns, and is not for the benefit of, nor may any provision hereof be enforced by, any other Person, other than the Indemnitees referred to in Section 9(k).</w:t>
      </w:r>
    </w:p>
    <w:p>
      <w:pPr>
        <w:spacing w:after="0" w:line="98" w:lineRule="exact"/>
        <w:rPr>
          <w:rFonts w:ascii="Arial" w:cs="Arial" w:eastAsia="Arial" w:hAnsi="Arial"/>
          <w:sz w:val="16"/>
          <w:szCs w:val="16"/>
          <w:color w:val="auto"/>
        </w:rPr>
      </w:pPr>
    </w:p>
    <w:p>
      <w:pPr>
        <w:ind w:left="1040" w:hanging="384"/>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agreements and covenants shall survive the Closing.</w:t>
      </w:r>
    </w:p>
    <w:p>
      <w:pPr>
        <w:spacing w:after="0" w:line="184" w:lineRule="exact"/>
        <w:rPr>
          <w:rFonts w:ascii="Arial" w:cs="Arial" w:eastAsia="Arial" w:hAnsi="Arial"/>
          <w:sz w:val="18"/>
          <w:szCs w:val="18"/>
          <w:color w:val="auto"/>
        </w:rPr>
      </w:pPr>
    </w:p>
    <w:p>
      <w:pPr>
        <w:jc w:val="both"/>
        <w:ind w:firstLine="656"/>
        <w:spacing w:after="0" w:line="259" w:lineRule="auto"/>
        <w:tabs>
          <w:tab w:leader="none" w:pos="103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40" w:name="page41"/>
    <w:bookmarkEnd w:id="40"/>
    <w:p>
      <w:pPr>
        <w:ind w:left="424" w:hanging="424"/>
        <w:spacing w:after="0"/>
        <w:tabs>
          <w:tab w:leader="none" w:pos="42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4" w:firstLine="1293"/>
        <w:spacing w:after="0" w:line="282" w:lineRule="auto"/>
        <w:tabs>
          <w:tab w:leader="none" w:pos="1696"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 consideration of the Lead Buyer’s and each Buyer’s execution and delivery of this Agreement and acquiring the Securities and in addition to all of the Company’s other obligations under the Transaction Documents, the Company, and each Buyer other than the Lead Buyer, jointly and severally, solely in the case of subsection (iv) hereunder (collectively, the “</w:t>
      </w:r>
      <w:r>
        <w:rPr>
          <w:rFonts w:ascii="Arial" w:cs="Arial" w:eastAsia="Arial" w:hAnsi="Arial"/>
          <w:sz w:val="16"/>
          <w:szCs w:val="16"/>
          <w:b w:val="1"/>
          <w:bCs w:val="1"/>
          <w:color w:val="auto"/>
        </w:rPr>
        <w:t>Indemnitors</w:t>
      </w:r>
      <w:r>
        <w:rPr>
          <w:rFonts w:ascii="Arial" w:cs="Arial" w:eastAsia="Arial" w:hAnsi="Arial"/>
          <w:sz w:val="16"/>
          <w:szCs w:val="16"/>
          <w:color w:val="auto"/>
        </w:rPr>
        <w:t>”),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(the “</w:t>
      </w:r>
      <w:r>
        <w:rPr>
          <w:rFonts w:ascii="Arial" w:cs="Arial" w:eastAsia="Arial" w:hAnsi="Arial"/>
          <w:sz w:val="16"/>
          <w:szCs w:val="16"/>
          <w:b w:val="1"/>
          <w:bCs w:val="1"/>
          <w:color w:val="auto"/>
        </w:rPr>
        <w:t>Indemnitee Affiliates</w:t>
      </w:r>
      <w:r>
        <w:rPr>
          <w:rFonts w:ascii="Arial" w:cs="Arial" w:eastAsia="Arial" w:hAnsi="Arial"/>
          <w:sz w:val="16"/>
          <w:szCs w:val="16"/>
          <w:color w:val="auto"/>
        </w:rPr>
        <w:t>”, and together with each Buyer,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incurred by any Indemnitee as a result of, or arising out of, or relating to (i) any misrepresentation or breach of any representation or warranty made by the Company in any of the Transaction Documents, (ii) any breach of any covenant, agreement or obligation of the Company contained in any of the Transaction Documents,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w:t>
      </w:r>
    </w:p>
    <w:p>
      <w:pPr>
        <w:spacing w:after="0" w:line="4" w:lineRule="exact"/>
        <w:rPr>
          <w:rFonts w:ascii="Arial" w:cs="Arial" w:eastAsia="Arial" w:hAnsi="Arial"/>
          <w:sz w:val="16"/>
          <w:szCs w:val="16"/>
          <w:color w:val="auto"/>
        </w:rPr>
      </w:pPr>
    </w:p>
    <w:p>
      <w:pPr>
        <w:jc w:val="both"/>
        <w:ind w:left="4"/>
        <w:spacing w:after="0" w:line="284" w:lineRule="auto"/>
        <w:rPr>
          <w:rFonts w:ascii="Arial" w:cs="Arial" w:eastAsia="Arial" w:hAnsi="Arial"/>
          <w:sz w:val="16"/>
          <w:szCs w:val="16"/>
          <w:color w:val="auto"/>
        </w:rPr>
      </w:pPr>
      <w:r>
        <w:rPr>
          <w:rFonts w:ascii="Arial" w:cs="Arial" w:eastAsia="Arial" w:hAnsi="Arial"/>
          <w:sz w:val="16"/>
          <w:szCs w:val="16"/>
          <w:color w:val="auto"/>
        </w:rPr>
        <w:t>(C) the status of any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or (D) with respect to the Registration Statement, or any other registration statement of the Company providing for the sale or resale by any Buyer of any Securities filed by the Company with the SEC, (1)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except to the extent, but only to the extent, that such untrue statements or omissions are based solely upon information regarding a Buyer furnished in writing to the Company by such Buyer expressly for use therein or (2) any violation or alleged violation by the Company of the 1933 Act, the 1934 Act or any state securities law, or any rule or regulation thereunder in connection therewith or (iv) in the case of the Lead Buyer or any of its Indemnitee Affiliates as Indemnitee, any cause of action, suit, proceeding or claim brought or made against such Indemnitee by a third party or an Indemnitor, or which otherwise involves such Indemnitee, that arises out of or results from (A) the performance of the obligations of the Lead Buyer hereunder in good faith, (B) the status of such Indemnitee as Lead Buyer in connection with the execution, delivery, performance or enforcement of any of the Transaction Documents and or in connection with any consent or notice right of the Lead Buyer hereunder or thereunder or (D) any diligence matters or other matters related to the Closing.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200" w:lineRule="exact"/>
        <w:rPr>
          <w:sz w:val="20"/>
          <w:szCs w:val="20"/>
          <w:color w:val="auto"/>
        </w:rPr>
      </w:pPr>
    </w:p>
    <w:p>
      <w:pPr>
        <w:spacing w:after="0" w:line="348"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90" w:right="239" w:bottom="1440" w:gutter="0" w:footer="0" w:header="0"/>
        </w:sectPr>
      </w:pPr>
    </w:p>
    <w:bookmarkStart w:id="41" w:name="page42"/>
    <w:bookmarkEnd w:id="41"/>
    <w:p>
      <w:pPr>
        <w:jc w:val="both"/>
        <w:ind w:left="-540" w:firstLine="1293"/>
        <w:spacing w:after="0" w:line="283" w:lineRule="auto"/>
        <w:tabs>
          <w:tab w:leader="none" w:pos="1201"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Promptly after receipt by an Indemnitee under this Section 9(k) of notice of the commencement of any action or proceeding (including any governmental action or proceeding) involving an Indemnified Liability, such Indemnitee shall, if a claim in respect thereof is to be made against any Indemnitor under this Section 9(k), deliver to each such Indemnitor a written notice of the commencement thereof, and each such Indemnitor shall have the right to participate in, and, to the extent the Company or any other Indemnitor so desires, to assume control of the defense thereof with counsel mutually satisfactory to each such Indemnitor so noticed and the Indemnitee; provided, however, that an Indemnitee shall have the right to retain its own counsel with the fees and expenses of such counsel to be paid by such Indemnitor(s) if: (A) such Indemnitor(s) have agreed in writing to pay such fees and expenses; (B) each such Indemnitor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any Indemnitor, and such Indemnitee shall have been advised by counsel that a conflict of interest is likely to exist if the same counsel were to represent such Indemnitee and any Indemnitor (in which case, if such Indemnitee notifies the Company in writing that it elects to employ separate counsel at the expense of such Indemnitor(s), then such Indemnitor(s) shall not have the right to assume the defense thereof and such counsel shall be at the expense of the such Indemnitor(s)), provided further, that in the case of clause (C) above the such Indemnitor(s) shall not be responsible for the reasonable fees and expenses of more than one (1) separate legal counsel for the Indemnitees. The Indemnitee shall reasonably cooperate with each Indemnitor in connection with any negotiation or defense of any such action or Indemnified Liability by each such Indemnitor and shall furnish to each such Indemnitor all information reasonably available to the Indemnitee which relates to such action or Indemnified Liability. Each such Indemnitor shall keep the Indemnitee reasonably apprised at all times as to the status of the defense or any settlement negotiations with respect thereto. Each such Indemnitor shall not be liable for any settlement of any action, claim or proceeding effected without its prior written consent, provided, however, that such Indemnitor(s) shall not unreasonably withhold, delay or condition its consent. Each such Indemnitor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each such Indemnitor shall be subrogated to all rights of the Indemnitee with respect to all third parties, firms or corporations relating to the matter for which indemnification has been made. The failure to deliver written notice to any Indemnitor within a reasonable time of the commencement of any such action shall not relieve such Indemnitor of any liability to the Indemnitee under this Section 9(k), except to the extent that such Indemnitor is materially and adversely prejudiced in its ability to defend such action.</w:t>
      </w:r>
    </w:p>
    <w:p>
      <w:pPr>
        <w:spacing w:after="0" w:line="153" w:lineRule="exact"/>
        <w:rPr>
          <w:rFonts w:ascii="Arial" w:cs="Arial" w:eastAsia="Arial" w:hAnsi="Arial"/>
          <w:sz w:val="16"/>
          <w:szCs w:val="16"/>
          <w:color w:val="auto"/>
        </w:rPr>
      </w:pPr>
    </w:p>
    <w:p>
      <w:pPr>
        <w:ind w:left="-540" w:right="20" w:firstLine="1293"/>
        <w:spacing w:after="0" w:line="268" w:lineRule="auto"/>
        <w:tabs>
          <w:tab w:leader="none" w:pos="12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indemnification required by this Section 9(k) shall be made by periodic payments of the amount thereof during the course of the investigation or defense, within ten (10) days after bills are received or Indemnified Liabilities are incurred.</w:t>
      </w:r>
    </w:p>
    <w:p>
      <w:pPr>
        <w:spacing w:after="0" w:line="145" w:lineRule="exact"/>
        <w:rPr>
          <w:rFonts w:ascii="Arial" w:cs="Arial" w:eastAsia="Arial" w:hAnsi="Arial"/>
          <w:sz w:val="18"/>
          <w:szCs w:val="18"/>
          <w:color w:val="auto"/>
        </w:rPr>
      </w:pPr>
    </w:p>
    <w:p>
      <w:pPr>
        <w:ind w:left="-540" w:firstLine="1293"/>
        <w:spacing w:after="0" w:line="268" w:lineRule="auto"/>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indemnity agreement contained herein shall be in addition to (A) any cause of action or similar right of the Indemnitee against any Indemnitor or others, and (B) any liabilities an Indemnitor may be subject to pursuant to the law.</w:t>
      </w:r>
    </w:p>
    <w:p>
      <w:pPr>
        <w:spacing w:after="0" w:line="200" w:lineRule="exact"/>
        <w:rPr>
          <w:sz w:val="20"/>
          <w:szCs w:val="20"/>
          <w:color w:val="auto"/>
        </w:rPr>
      </w:pPr>
    </w:p>
    <w:p>
      <w:pPr>
        <w:spacing w:after="0" w:line="35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90" w:right="239" w:bottom="1440" w:gutter="0" w:footer="0" w:header="0"/>
        </w:sectPr>
      </w:pPr>
    </w:p>
    <w:bookmarkStart w:id="42" w:name="page43"/>
    <w:bookmarkEnd w:id="42"/>
    <w:p>
      <w:pPr>
        <w:jc w:val="both"/>
        <w:ind w:firstLine="656"/>
        <w:spacing w:after="0" w:line="290" w:lineRule="auto"/>
        <w:tabs>
          <w:tab w:leader="none" w:pos="103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It is expressly understood and agreed that for all purposes of this Agreement, and without implication that the contrary would otherwise be true, neither transactions nor purchases nor sales shall include the location and/or reservation of borrowable shares of Common Stock.</w:t>
      </w:r>
    </w:p>
    <w:p>
      <w:pPr>
        <w:spacing w:after="0" w:line="131" w:lineRule="exact"/>
        <w:rPr>
          <w:rFonts w:ascii="Arial" w:cs="Arial" w:eastAsia="Arial" w:hAnsi="Arial"/>
          <w:sz w:val="16"/>
          <w:szCs w:val="16"/>
          <w:color w:val="auto"/>
        </w:rPr>
      </w:pPr>
    </w:p>
    <w:p>
      <w:pPr>
        <w:jc w:val="both"/>
        <w:ind w:firstLine="656"/>
        <w:spacing w:after="0" w:line="286" w:lineRule="auto"/>
        <w:tabs>
          <w:tab w:leader="none" w:pos="111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Each Buyer and in the event of assignment by a Buyer of its rights and obligations hereunder, each holder of any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inadequate relief to the Buyers. The Company therefore agrees that each Buyer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140" w:lineRule="exact"/>
        <w:rPr>
          <w:rFonts w:ascii="Arial" w:cs="Arial" w:eastAsia="Arial" w:hAnsi="Arial"/>
          <w:sz w:val="16"/>
          <w:szCs w:val="16"/>
          <w:color w:val="auto"/>
        </w:rPr>
      </w:pPr>
    </w:p>
    <w:p>
      <w:pPr>
        <w:jc w:val="both"/>
        <w:ind w:firstLine="656"/>
        <w:spacing w:after="0" w:line="289" w:lineRule="auto"/>
        <w:tabs>
          <w:tab w:leader="none" w:pos="109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Withdrawal Right</w:t>
      </w:r>
      <w:r>
        <w:rPr>
          <w:rFonts w:ascii="Arial" w:cs="Arial" w:eastAsia="Arial" w:hAnsi="Arial"/>
          <w:sz w:val="16"/>
          <w:szCs w:val="16"/>
          <w:color w:val="auto"/>
        </w:rPr>
        <w:t>. Notwithstanding anything to the contrary contained in (and without limiting any similar provisions of) the Transaction Documents, whenever a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 provided, however, that in the case of a rescission of an exercise of the Warrant, such Buyer shall be required to return any Warrant Shares, respectively, subject to any such rescinded exercise notice concurrently with the return to such Buyer of the aggregate exercise price paid to the Company for such Warrant Shares, as applicable, and the restoration of such Buyer’s right to acquire such Warrant Shares pursuant to such Warrant (including, issuance of a replacement warrant certificate evidencing such restored right), respectively.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3" w:name="page44"/>
    <w:bookmarkEnd w:id="43"/>
    <w:p>
      <w:pPr>
        <w:jc w:val="both"/>
        <w:ind w:firstLine="656"/>
        <w:spacing w:after="0" w:line="286" w:lineRule="auto"/>
        <w:tabs>
          <w:tab w:leader="none" w:pos="1069"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Payment Set Aside; Currency</w:t>
      </w:r>
      <w:r>
        <w:rPr>
          <w:rFonts w:ascii="Arial" w:cs="Arial" w:eastAsia="Arial" w:hAnsi="Arial"/>
          <w:sz w:val="16"/>
          <w:szCs w:val="16"/>
          <w:color w:val="auto"/>
        </w:rPr>
        <w:t>. To the extent that the Company makes a payment or payments to a Buyer hereunder or pursuant to any of the other Transaction Documents or a Buyer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Arial" w:cs="Arial" w:eastAsia="Arial" w:hAnsi="Arial"/>
          <w:sz w:val="16"/>
          <w:szCs w:val="16"/>
          <w:b w:val="1"/>
          <w:bCs w:val="1"/>
          <w:color w:val="auto"/>
        </w:rPr>
        <w:t>U.S.</w:t>
      </w:r>
      <w:r>
        <w:rPr>
          <w:rFonts w:ascii="Arial" w:cs="Arial" w:eastAsia="Arial" w:hAnsi="Arial"/>
          <w:sz w:val="16"/>
          <w:szCs w:val="16"/>
          <w:color w:val="auto"/>
        </w:rPr>
        <w:t xml:space="preserve"> </w:t>
      </w:r>
      <w:r>
        <w:rPr>
          <w:rFonts w:ascii="Arial" w:cs="Arial" w:eastAsia="Arial" w:hAnsi="Arial"/>
          <w:sz w:val="16"/>
          <w:szCs w:val="16"/>
          <w:b w:val="1"/>
          <w:bCs w:val="1"/>
          <w:color w:val="auto"/>
        </w:rPr>
        <w:t>Dollars</w:t>
      </w:r>
      <w:r>
        <w:rPr>
          <w:rFonts w:ascii="Arial" w:cs="Arial" w:eastAsia="Arial" w:hAnsi="Arial"/>
          <w:sz w:val="16"/>
          <w:szCs w:val="16"/>
          <w:color w:val="auto"/>
        </w:rPr>
        <w:t>”), and all amounts owing under this Agreement and all other Transaction Documents shall be paid in U.S. Dollars. All amounts denominated in other</w:t>
      </w:r>
      <w:r>
        <w:rPr>
          <w:rFonts w:ascii="Arial" w:cs="Arial" w:eastAsia="Arial" w:hAnsi="Arial"/>
          <w:sz w:val="16"/>
          <w:szCs w:val="16"/>
          <w:b w:val="1"/>
          <w:bCs w:val="1"/>
          <w:color w:val="auto"/>
        </w:rPr>
        <w:t xml:space="preserve"> </w:t>
      </w:r>
      <w:r>
        <w:rPr>
          <w:rFonts w:ascii="Arial" w:cs="Arial" w:eastAsia="Arial" w:hAnsi="Arial"/>
          <w:sz w:val="16"/>
          <w:szCs w:val="16"/>
          <w:color w:val="auto"/>
        </w:rPr>
        <w:t>currencies (if any) shall be converted into the U.S. Dollar equivalent amount in accordance with the Exchange Rate on the date of calculation.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Rate</w:t>
      </w:r>
      <w:r>
        <w:rPr>
          <w:rFonts w:ascii="Arial" w:cs="Arial" w:eastAsia="Arial" w:hAnsi="Arial"/>
          <w:sz w:val="16"/>
          <w:szCs w:val="16"/>
          <w:color w:val="auto"/>
        </w:rPr>
        <w:t>” means, in relation to any amount of currency to be converted into U.S. Dollars pursuant to this Agreement, the U.S. Dollar exchange rate as published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Wall Street Journal on the relevant date of calculation.</w:t>
      </w:r>
    </w:p>
    <w:p>
      <w:pPr>
        <w:spacing w:after="0" w:line="140" w:lineRule="exact"/>
        <w:rPr>
          <w:rFonts w:ascii="Arial" w:cs="Arial" w:eastAsia="Arial" w:hAnsi="Arial"/>
          <w:sz w:val="16"/>
          <w:szCs w:val="16"/>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660" w:firstLine="1293"/>
        <w:spacing w:after="0" w:line="256" w:lineRule="auto"/>
        <w:tabs>
          <w:tab w:leader="none" w:pos="2352"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for the purpose of obtaining or enforcing judgment against the Company in connection with this Agreement or any other Transaction Document in any court in any jurisdiction it becomes necessary to convert into any other currency (such other currency being hereinafter in this Section 9(p) referred to as the “</w:t>
      </w:r>
      <w:r>
        <w:rPr>
          <w:rFonts w:ascii="Arial" w:cs="Arial" w:eastAsia="Arial" w:hAnsi="Arial"/>
          <w:sz w:val="18"/>
          <w:szCs w:val="18"/>
          <w:b w:val="1"/>
          <w:bCs w:val="1"/>
          <w:color w:val="auto"/>
        </w:rPr>
        <w:t>Judgment Currency</w:t>
      </w:r>
      <w:r>
        <w:rPr>
          <w:rFonts w:ascii="Arial" w:cs="Arial" w:eastAsia="Arial" w:hAnsi="Arial"/>
          <w:sz w:val="18"/>
          <w:szCs w:val="18"/>
          <w:color w:val="auto"/>
        </w:rPr>
        <w:t>”) an amount due in US Dollars under this Agreement, the conversion shall be made at the Exchange Rate prevailing on the Trading Day immediately preceding:</w:t>
      </w:r>
    </w:p>
    <w:p>
      <w:pPr>
        <w:spacing w:after="0" w:line="156" w:lineRule="exact"/>
        <w:rPr>
          <w:rFonts w:ascii="Arial" w:cs="Arial" w:eastAsia="Arial" w:hAnsi="Arial"/>
          <w:sz w:val="18"/>
          <w:szCs w:val="18"/>
          <w:color w:val="auto"/>
        </w:rPr>
      </w:pPr>
    </w:p>
    <w:p>
      <w:pPr>
        <w:ind w:left="1300" w:firstLine="1949"/>
        <w:spacing w:after="0" w:line="268" w:lineRule="auto"/>
        <w:tabs>
          <w:tab w:leader="none" w:pos="3665"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date actual payment of the amount due, in the case of any proceeding in the courts of New York or in the courts of any other jurisdiction that will give effect to such conversion being made on such date: or</w:t>
      </w:r>
    </w:p>
    <w:p>
      <w:pPr>
        <w:spacing w:after="0" w:line="145" w:lineRule="exact"/>
        <w:rPr>
          <w:rFonts w:ascii="Arial" w:cs="Arial" w:eastAsia="Arial" w:hAnsi="Arial"/>
          <w:sz w:val="18"/>
          <w:szCs w:val="18"/>
          <w:color w:val="auto"/>
        </w:rPr>
      </w:pPr>
    </w:p>
    <w:p>
      <w:pPr>
        <w:jc w:val="both"/>
        <w:ind w:left="1300" w:firstLine="1949"/>
        <w:spacing w:after="0" w:line="259" w:lineRule="auto"/>
        <w:tabs>
          <w:tab w:leader="none" w:pos="3679"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date on which the foreign court determines, in the case of any proceeding in the courts of any other jurisdiction (the date as of which such conversion is made pursuant to this Section 9(p)(i)(1) being hereinafter referred to as the “</w:t>
      </w:r>
      <w:r>
        <w:rPr>
          <w:rFonts w:ascii="Arial" w:cs="Arial" w:eastAsia="Arial" w:hAnsi="Arial"/>
          <w:sz w:val="18"/>
          <w:szCs w:val="18"/>
          <w:b w:val="1"/>
          <w:bCs w:val="1"/>
          <w:color w:val="auto"/>
        </w:rPr>
        <w:t>Judgment</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Date</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left="660" w:firstLine="1293"/>
        <w:spacing w:after="0" w:line="294" w:lineRule="auto"/>
        <w:tabs>
          <w:tab w:leader="none" w:pos="2387"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in the case of any proceeding in the court of any jurisdiction referred to in Section 9(p)(i)(1)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29" w:lineRule="exact"/>
        <w:rPr>
          <w:rFonts w:ascii="Arial" w:cs="Arial" w:eastAsia="Arial" w:hAnsi="Arial"/>
          <w:sz w:val="16"/>
          <w:szCs w:val="16"/>
          <w:color w:val="auto"/>
        </w:rPr>
      </w:pPr>
    </w:p>
    <w:p>
      <w:pPr>
        <w:ind w:left="660" w:firstLine="1293"/>
        <w:spacing w:after="0" w:line="332" w:lineRule="auto"/>
        <w:tabs>
          <w:tab w:leader="none" w:pos="2436" w:val="left"/>
        </w:tabs>
        <w:numPr>
          <w:ilvl w:val="1"/>
          <w:numId w:val="62"/>
        </w:numPr>
        <w:rPr>
          <w:rFonts w:ascii="Arial" w:cs="Arial" w:eastAsia="Arial" w:hAnsi="Arial"/>
          <w:sz w:val="16"/>
          <w:szCs w:val="16"/>
          <w:color w:val="auto"/>
        </w:rPr>
      </w:pPr>
      <w:r>
        <w:rPr>
          <w:rFonts w:ascii="Arial" w:cs="Arial" w:eastAsia="Arial" w:hAnsi="Arial"/>
          <w:sz w:val="16"/>
          <w:szCs w:val="16"/>
          <w:color w:val="auto"/>
        </w:rPr>
        <w:t>Any amount due from the Company under this provision shall be due as a separate debt and shall not be affected by judgment being obtained for any other amounts due under or in respect of this Agreement or any other Transaction Document.</w:t>
      </w:r>
    </w:p>
    <w:p>
      <w:pPr>
        <w:spacing w:after="0" w:line="98" w:lineRule="exact"/>
        <w:rPr>
          <w:rFonts w:ascii="Arial" w:cs="Arial" w:eastAsia="Arial" w:hAnsi="Arial"/>
          <w:sz w:val="16"/>
          <w:szCs w:val="16"/>
          <w:color w:val="auto"/>
        </w:rPr>
      </w:pPr>
    </w:p>
    <w:p>
      <w:pPr>
        <w:jc w:val="both"/>
        <w:ind w:firstLine="656"/>
        <w:spacing w:after="0" w:line="335" w:lineRule="auto"/>
        <w:tabs>
          <w:tab w:leader="none" w:pos="1069"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Liquidated Damages</w:t>
      </w:r>
      <w:r>
        <w:rPr>
          <w:rFonts w:ascii="Arial" w:cs="Arial" w:eastAsia="Arial" w:hAnsi="Arial"/>
          <w:sz w:val="15"/>
          <w:szCs w:val="15"/>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Follows</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have caused this Agreement to be duly executed as of the date first written above.</w:t>
      </w:r>
    </w:p>
    <w:p>
      <w:pPr>
        <w:sectPr>
          <w:pgSz w:w="11900" w:h="16838" w:orient="portrait"/>
          <w:cols w:equalWidth="0" w:num="1">
            <w:col w:w="9559"/>
          </w:cols>
          <w:pgMar w:left="900" w:top="773" w:right="1440" w:bottom="1440" w:gutter="0" w:footer="0" w:header="0"/>
        </w:sectPr>
      </w:pPr>
    </w:p>
    <w:p>
      <w:pPr>
        <w:spacing w:after="0" w:line="18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Shawn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-13970</wp:posOffset>
            </wp:positionV>
            <wp:extent cx="13379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5380"/>
        <w:spacing w:after="0"/>
        <w:rPr>
          <w:sz w:val="20"/>
          <w:szCs w:val="20"/>
          <w:color w:val="auto"/>
        </w:rPr>
      </w:pPr>
      <w:r>
        <w:rPr>
          <w:rFonts w:ascii="Arial" w:cs="Arial" w:eastAsia="Arial" w:hAnsi="Arial"/>
          <w:sz w:val="18"/>
          <w:szCs w:val="18"/>
          <w:color w:val="auto"/>
        </w:rPr>
        <w:t>Name: Shawn Singh</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3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773" w:right="1440" w:bottom="1440" w:gutter="0" w:footer="0" w:header="0"/>
          <w:type w:val="continuous"/>
        </w:sectPr>
      </w:pPr>
    </w:p>
    <w:bookmarkStart w:id="45" w:name="page46"/>
    <w:bookmarkEnd w:id="45"/>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undersigned Buyer has caused this Agreement to be duly executed as of the date first written above.</w:t>
      </w:r>
    </w:p>
    <w:p>
      <w:pPr>
        <w:sectPr>
          <w:pgSz w:w="11900" w:h="16838" w:orient="portrait"/>
          <w:cols w:equalWidth="0" w:num="1">
            <w:col w:w="10219"/>
          </w:cols>
          <w:pgMar w:left="240" w:top="773" w:right="1440"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BUYER:</w:t>
      </w:r>
    </w:p>
    <w:p>
      <w:pPr>
        <w:spacing w:after="0" w:line="200" w:lineRule="exact"/>
        <w:rPr>
          <w:sz w:val="20"/>
          <w:szCs w:val="20"/>
          <w:color w:val="auto"/>
        </w:rPr>
      </w:pPr>
    </w:p>
    <w:p>
      <w:pPr>
        <w:sectPr>
          <w:pgSz w:w="11900" w:h="16838" w:orient="portrait"/>
          <w:cols w:equalWidth="0" w:num="2">
            <w:col w:w="4780" w:space="720"/>
            <w:col w:w="4719"/>
          </w:cols>
          <w:pgMar w:left="240" w:top="773" w:right="1440"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w:t>
      </w:r>
    </w:p>
    <w:p>
      <w:pPr>
        <w:spacing w:after="0" w:line="200" w:lineRule="exact"/>
        <w:rPr>
          <w:sz w:val="20"/>
          <w:szCs w:val="20"/>
          <w:color w:val="auto"/>
        </w:rPr>
      </w:pPr>
    </w:p>
    <w:p>
      <w:pPr>
        <w:sectPr>
          <w:pgSz w:w="11900" w:h="16838" w:orient="portrait"/>
          <w:cols w:equalWidth="0" w:num="2">
            <w:col w:w="4780" w:space="720"/>
            <w:col w:w="4719"/>
          </w:cols>
          <w:pgMar w:left="240" w:top="773" w:right="1440" w:bottom="1440" w:gutter="0" w:footer="0" w:header="0"/>
          <w:type w:val="continuous"/>
        </w:sect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3"/>
          <w:szCs w:val="13"/>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 $_________</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Number of Common Shares: __________</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Number of Warrant Shares: ___________</w:t>
      </w:r>
    </w:p>
    <w:p>
      <w:pPr>
        <w:spacing w:after="0" w:line="200" w:lineRule="exact"/>
        <w:rPr>
          <w:sz w:val="20"/>
          <w:szCs w:val="20"/>
          <w:color w:val="auto"/>
        </w:rPr>
      </w:pPr>
    </w:p>
    <w:p>
      <w:pPr>
        <w:sectPr>
          <w:pgSz w:w="11900" w:h="16838" w:orient="portrait"/>
          <w:cols w:equalWidth="0" w:num="2">
            <w:col w:w="4780" w:space="720"/>
            <w:col w:w="4719"/>
          </w:cols>
          <w:pgMar w:left="240" w:top="77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773" w:right="1440"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w:t>
      </w:r>
    </w:p>
    <w:p>
      <w:pPr>
        <w:spacing w:after="0" w:line="3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THE SECURITIES REPRESENTED HEREBY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CUSTOMARY FORM,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NUMBER OF SHARES OF COMMON STOCK ISSUABLE UPON EXERCISE OF THIS WARRANT MAY BE LESS THAN THE AMOUNTS SET FORTH ON THE FACE HEREOF PURSUANT TO SECTION 1(a) OF THIS WARRANT.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ISTA</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Warrant No.: 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24, 2020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Initial Exercise Date: July 24, 2020 (“</w:t>
      </w:r>
      <w:r>
        <w:rPr>
          <w:rFonts w:ascii="Arial" w:cs="Arial" w:eastAsia="Arial" w:hAnsi="Arial"/>
          <w:sz w:val="18"/>
          <w:szCs w:val="18"/>
          <w:b w:val="1"/>
          <w:bCs w:val="1"/>
          <w:color w:val="auto"/>
        </w:rPr>
        <w:t>Initial Exercise Date</w:t>
      </w:r>
      <w:r>
        <w:rPr>
          <w:rFonts w:ascii="Arial" w:cs="Arial" w:eastAsia="Arial" w:hAnsi="Arial"/>
          <w:sz w:val="18"/>
          <w:szCs w:val="18"/>
          <w:color w:val="auto"/>
        </w:rPr>
        <w:t>”)</w:t>
      </w:r>
    </w:p>
    <w:p>
      <w:pPr>
        <w:spacing w:after="0" w:line="2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VistaGen Therapeutics,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__________________,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Initial Exercise Date, but not after 11:59 p.m., New York time, on the Expiration Date (as defined below), ______ (subject to adjustment as provided</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17. This Warrant is the Warrant issued pursuant to (i) Section 1 of that certain Securities Purchase Agreement, dated as of January 24, 2020 (the “</w:t>
      </w:r>
      <w:r>
        <w:rPr>
          <w:rFonts w:ascii="Arial" w:cs="Arial" w:eastAsia="Arial" w:hAnsi="Arial"/>
          <w:sz w:val="18"/>
          <w:szCs w:val="18"/>
          <w:b w:val="1"/>
          <w:bCs w:val="1"/>
          <w:color w:val="auto"/>
        </w:rPr>
        <w:t>Subscription Date</w:t>
      </w:r>
      <w:r>
        <w:rPr>
          <w:rFonts w:ascii="Arial" w:cs="Arial" w:eastAsia="Arial" w:hAnsi="Arial"/>
          <w:sz w:val="18"/>
          <w:szCs w:val="18"/>
          <w:color w:val="auto"/>
        </w:rPr>
        <w:t>”), by and between the Company and ____________________, as amended from time to time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left="360" w:hanging="352"/>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184" w:lineRule="exact"/>
        <w:rPr>
          <w:rFonts w:ascii="Arial" w:cs="Arial" w:eastAsia="Arial" w:hAnsi="Arial"/>
          <w:sz w:val="18"/>
          <w:szCs w:val="18"/>
          <w:color w:val="auto"/>
        </w:rPr>
      </w:pPr>
    </w:p>
    <w:p>
      <w:pPr>
        <w:jc w:val="both"/>
        <w:ind w:firstLine="656"/>
        <w:spacing w:after="0" w:line="277" w:lineRule="auto"/>
        <w:tabs>
          <w:tab w:leader="none" w:pos="1609" w:val="left"/>
        </w:tabs>
        <w:numPr>
          <w:ilvl w:val="1"/>
          <w:numId w:val="6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Initial Exercise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Trading Day following the date on which the Company has received an Exercise Notice, the Company shall transmit by facsimile or electronic mail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which confirmation shall constitute an instruction to the Transfer Agent to process such Exercise Notice in accordance with the terms herein. On or before the second (2</w:t>
      </w:r>
      <w:r>
        <w:rPr>
          <w:rFonts w:ascii="Arial" w:cs="Arial" w:eastAsia="Arial" w:hAnsi="Arial"/>
          <w:sz w:val="22"/>
          <w:szCs w:val="22"/>
          <w:color w:val="auto"/>
          <w:vertAlign w:val="superscript"/>
        </w:rPr>
        <w:t>nd</w:t>
      </w:r>
      <w:r>
        <w:rPr>
          <w:rFonts w:ascii="Arial" w:cs="Arial" w:eastAsia="Arial" w:hAnsi="Arial"/>
          <w:sz w:val="16"/>
          <w:szCs w:val="16"/>
          <w:color w:val="auto"/>
        </w:rPr>
        <w:t>)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 (i)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upon the request of the Holder, credit such aggregate number of shares of Common Stock to which the Holder is entitled pursuant to such exercise to the Holder’s or its designee’s balance account with DTC through its Deposit/Withdrawal at Custodian system, or (ii) if the Transfer Agent is not participating in the DTC Fast Automated Securities Transfer Program, upon the request of the Holder, issue and deliver (via reputable overnight courier) to the address as specified in the Exercise Notice, a certificate,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three (3)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the Company’s failure to deliver Warrant Shares to the Holder on or prior to the later of (A) two (2) Trading Days after receipt of the applicable Exercise Notice (or such earlier date as required pursuant to the 1934 Act or other applicable law, rule or regulation for the settlement of a trade of such Warrant Shares initiated on the applicable Exercise Date) and (B) one (1) Trading Day after the Company’s receipt of the Aggregate Exercise Price (or valid notice of a Cashless Exercise) (such later date, the “</w:t>
      </w:r>
      <w:r>
        <w:rPr>
          <w:rFonts w:ascii="Arial" w:cs="Arial" w:eastAsia="Arial" w:hAnsi="Arial"/>
          <w:sz w:val="16"/>
          <w:szCs w:val="16"/>
          <w:b w:val="1"/>
          <w:bCs w:val="1"/>
          <w:color w:val="auto"/>
        </w:rPr>
        <w:t>Share Delivery Deadline</w:t>
      </w:r>
      <w:r>
        <w:rPr>
          <w:rFonts w:ascii="Arial" w:cs="Arial" w:eastAsia="Arial" w:hAnsi="Arial"/>
          <w:sz w:val="16"/>
          <w:szCs w:val="16"/>
          <w:color w:val="auto"/>
        </w:rPr>
        <w:t>”) shall not be deemed to be a breach of this Warrant. From the Issuance Date through and including the Expiration Date, the Company shall maintain a transfer agent that participates in the DTC’s Fast Automated Securities Transfer Program.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8" w:name="page49"/>
    <w:bookmarkEnd w:id="48"/>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$[_], subject to adjustment as provided herein.</w:t>
      </w:r>
    </w:p>
    <w:p>
      <w:pPr>
        <w:spacing w:after="0" w:line="190" w:lineRule="exact"/>
        <w:rPr>
          <w:rFonts w:ascii="Arial" w:cs="Arial" w:eastAsia="Arial" w:hAnsi="Arial"/>
          <w:sz w:val="18"/>
          <w:szCs w:val="18"/>
          <w:color w:val="auto"/>
        </w:rPr>
      </w:pPr>
    </w:p>
    <w:p>
      <w:pPr>
        <w:jc w:val="both"/>
        <w:ind w:firstLine="656"/>
        <w:spacing w:after="0" w:line="283" w:lineRule="auto"/>
        <w:tabs>
          <w:tab w:leader="none" w:pos="1059"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then, in addition to all other remedies available to the Holder, (X) the Company shall pay in cash to the Holder on each day after the Share Delivery Deadline and during such Delivery Failure an amount equal to 2% of the product of (A) the sum of the number of shares of Common Stock not issued to the Holder on or prior to the Share Delivery Deadline and to which the Holder is entitled, multiplied by (B) any trading price of the Common Stock selected by the Holder in writing as in effect at any time during the period beginning on the applicable Exercise Date and ending on the applicable Share Delivery Deadline,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Deadline either (I) the Transfer Agent is not participating in the DTC Fast Automated Securities Transfer Program, the Company shall fail to issue and deliver to the Holder (or its designee) a certificate and register such shares of Common Stock on the Company’s share register or, if the Transfer Agent is participating in the DTC Fast Automated Securities Transfer Program, the Transfer Agent shall fail to credit the balance account of the Holder or the Holder’s designee with DTC for the number of shares of Common Stock to which the Holder is entitled upon the Holder’s exercise hereunder or pursuant to the Company’s obligation pursuant to clause (ii) below or (II) a Notice Failure occurs, and if on or after such Share Delivery Deadline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Common Stock on any Trading Day during the period commencing on the date of the applicable Exercise Notice and ending on the date of such issuance and payment under this clause (ii)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jc w:val="both"/>
        <w:ind w:firstLine="656"/>
        <w:spacing w:after="0" w:line="298" w:lineRule="auto"/>
        <w:tabs>
          <w:tab w:leader="none" w:pos="1069"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(other than Section 1(f) below), if at the time of exercise hereof a registration statement is not effective (or the prospectus contained therein is not available for use) for the resale by the Holder of all of the Warrant Shares, then the Holder may, in its sole discretion, exercise this Warrant in whole or in part by means of a “cashless exercise” (a “</w:t>
      </w:r>
      <w:r>
        <w:rPr>
          <w:rFonts w:ascii="Arial" w:cs="Arial" w:eastAsia="Arial" w:hAnsi="Arial"/>
          <w:sz w:val="16"/>
          <w:szCs w:val="16"/>
          <w:b w:val="1"/>
          <w:bCs w:val="1"/>
          <w:color w:val="auto"/>
        </w:rPr>
        <w:t>Cashless Exercise</w:t>
      </w:r>
      <w:r>
        <w:rPr>
          <w:rFonts w:ascii="Arial" w:cs="Arial" w:eastAsia="Arial" w:hAnsi="Arial"/>
          <w:sz w:val="16"/>
          <w:szCs w:val="16"/>
          <w:color w:val="auto"/>
        </w:rPr>
        <w:t>”) in which the Holder shall be entitled to receive a number of Warrant Shares equal to the quotient obtained by dividing [(A-B) (X)] by (A), where:</w:t>
      </w:r>
    </w:p>
    <w:p>
      <w:pPr>
        <w:spacing w:after="0" w:line="99" w:lineRule="exact"/>
        <w:rPr>
          <w:sz w:val="20"/>
          <w:szCs w:val="20"/>
          <w:color w:val="auto"/>
        </w:rPr>
      </w:pPr>
    </w:p>
    <w:p>
      <w:pPr>
        <w:jc w:val="both"/>
        <w:ind w:left="1300"/>
        <w:spacing w:after="0" w:line="283" w:lineRule="auto"/>
        <w:rPr>
          <w:sz w:val="20"/>
          <w:szCs w:val="20"/>
          <w:color w:val="auto"/>
        </w:rPr>
      </w:pPr>
      <w:r>
        <w:rPr>
          <w:rFonts w:ascii="Arial" w:cs="Arial" w:eastAsia="Arial" w:hAnsi="Arial"/>
          <w:sz w:val="16"/>
          <w:szCs w:val="16"/>
          <w:color w:val="auto"/>
        </w:rPr>
        <w:t>A= as applicable: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w:t>
      </w:r>
    </w:p>
    <w:p>
      <w:pPr>
        <w:jc w:val="both"/>
        <w:ind w:left="1300" w:firstLine="5"/>
        <w:spacing w:after="0" w:line="255" w:lineRule="auto"/>
        <w:tabs>
          <w:tab w:leader="none" w:pos="1567"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hours after the close of “regular trading hours” on a Trading Day) pursuant to Section 1(a) hereof or (iii) the VWAP on the date of the applicable Notice of Exercise if the date of such Notice of Exercise is a Trading Day and such Notice of Exercise is both executed and delivered pursuant to Section 1(a) hereof after the close of “regular trading hours” on such Trading Day.</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 the Exercise Price then in effect for the applicable Warrant Shares at the time of such exercise.</w:t>
      </w:r>
    </w:p>
    <w:p>
      <w:pPr>
        <w:spacing w:after="0" w:line="158" w:lineRule="exact"/>
        <w:rPr>
          <w:sz w:val="20"/>
          <w:szCs w:val="20"/>
          <w:color w:val="auto"/>
        </w:rPr>
      </w:pPr>
    </w:p>
    <w:p>
      <w:pPr>
        <w:ind w:left="1300" w:right="20"/>
        <w:spacing w:after="0" w:line="268" w:lineRule="auto"/>
        <w:rPr>
          <w:sz w:val="20"/>
          <w:szCs w:val="20"/>
          <w:color w:val="auto"/>
        </w:rPr>
      </w:pPr>
      <w:r>
        <w:rPr>
          <w:rFonts w:ascii="Arial" w:cs="Arial" w:eastAsia="Arial" w:hAnsi="Arial"/>
          <w:sz w:val="18"/>
          <w:szCs w:val="18"/>
          <w:color w:val="auto"/>
        </w:rPr>
        <w:t>C = the number of Warrant Shares that would be issuable upon exercise of this Warrant in accordance with the terms of this Warrant if such exercise were by means of a cash exercise rather than a Cashless Exercise.</w:t>
      </w:r>
    </w:p>
    <w:p>
      <w:pPr>
        <w:spacing w:after="0" w:line="118"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6"/>
          <w:szCs w:val="16"/>
          <w:color w:val="auto"/>
        </w:rPr>
        <w:t>If the Warrant Shares are issued in a Cashless Exercise, the parties acknowledge and agree that in accordance with Section 3(a)(9) of the 1933 Act, the Warrant Shares take on the characteristics of the Warrants being exercised. For purposes of Rule 144(d) promulgated under the 1933 Act, as in effect on the Subscription Date, it is intended that the Warrant Shares issued in a Cashless Exercise shall be deemed to have been acquired by the Holder, and the holding period for the Warrant Shares shall be deemed to have commenced, on the date this Warrant was originally issued pursuant to the Securities Purchase Agreement. The Company agrees not to take any position contrary to this Section 1(d).</w:t>
      </w:r>
    </w:p>
    <w:p>
      <w:pPr>
        <w:spacing w:after="0" w:line="129" w:lineRule="exact"/>
        <w:rPr>
          <w:sz w:val="20"/>
          <w:szCs w:val="20"/>
          <w:color w:val="auto"/>
        </w:rPr>
      </w:pPr>
    </w:p>
    <w:p>
      <w:pPr>
        <w:jc w:val="both"/>
        <w:ind w:firstLine="656"/>
        <w:spacing w:after="0" w:line="259" w:lineRule="auto"/>
        <w:tabs>
          <w:tab w:leader="none" w:pos="1059"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0" w:name="page51"/>
    <w:bookmarkEnd w:id="50"/>
    <w:p>
      <w:pPr>
        <w:jc w:val="both"/>
        <w:ind w:firstLine="656"/>
        <w:spacing w:after="0" w:line="277" w:lineRule="auto"/>
        <w:tabs>
          <w:tab w:leader="none" w:pos="1053"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1934 Act. For purposes of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acquired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w:t>
      </w:r>
      <w:r>
        <w:rPr>
          <w:rFonts w:ascii="Arial" w:cs="Arial" w:eastAsia="Arial" w:hAnsi="Arial"/>
          <w:sz w:val="22"/>
          <w:szCs w:val="22"/>
          <w:color w:val="auto"/>
          <w:vertAlign w:val="superscript"/>
        </w:rPr>
        <w:t>st</w:t>
      </w:r>
      <w:r>
        <w:rPr>
          <w:rFonts w:ascii="Arial" w:cs="Arial" w:eastAsia="Arial" w:hAnsi="Arial"/>
          <w:sz w:val="16"/>
          <w:szCs w:val="16"/>
          <w:color w:val="auto"/>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Arial" w:cs="Arial" w:eastAsia="Arial" w:hAnsi="Arial"/>
          <w:sz w:val="22"/>
          <w:szCs w:val="22"/>
          <w:color w:val="auto"/>
          <w:vertAlign w:val="superscript"/>
        </w:rPr>
        <w:t>st</w:t>
      </w:r>
      <w:r>
        <w:rPr>
          <w:rFonts w:ascii="Arial" w:cs="Arial" w:eastAsia="Arial" w:hAnsi="Arial"/>
          <w:sz w:val="16"/>
          <w:szCs w:val="16"/>
          <w:color w:val="auto"/>
        </w:rPr>
        <w: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1" w:name="page52"/>
    <w:bookmarkEnd w:id="51"/>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4" w:firstLine="1293"/>
        <w:spacing w:after="0" w:line="286" w:lineRule="auto"/>
        <w:tabs>
          <w:tab w:leader="none" w:pos="1709"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Required Reserve Amount</w:t>
      </w:r>
      <w:r>
        <w:rPr>
          <w:rFonts w:ascii="Arial" w:cs="Arial" w:eastAsia="Arial" w:hAnsi="Arial"/>
          <w:sz w:val="16"/>
          <w:szCs w:val="16"/>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provided that at no time shall the number of shares of Common Stock reserved pursuant to this Section 1(g)(i) be reduced other than proportionally in connection with any exercise or redemption of Warrants or such other event covered by Section 2(a) below. The Required Reserve Amount (including, without limitation, each increase in the number of shares so reserved) shall be allocated pro rata among the holders of the Warrants based on number of shares of Common Stock issuable upon exercise of Warrants held by each holder on the Closing Date (without regard to any limitations on exercise) or increase in the number of reserved shares, as the case may be (the “</w:t>
      </w:r>
      <w:r>
        <w:rPr>
          <w:rFonts w:ascii="Arial" w:cs="Arial" w:eastAsia="Arial" w:hAnsi="Arial"/>
          <w:sz w:val="16"/>
          <w:szCs w:val="16"/>
          <w:b w:val="1"/>
          <w:bCs w:val="1"/>
          <w:color w:val="auto"/>
        </w:rPr>
        <w:t>Authorized Share</w:t>
      </w:r>
      <w:r>
        <w:rPr>
          <w:rFonts w:ascii="Arial" w:cs="Arial" w:eastAsia="Arial" w:hAnsi="Arial"/>
          <w:sz w:val="16"/>
          <w:szCs w:val="16"/>
          <w:color w:val="auto"/>
        </w:rPr>
        <w:t xml:space="preserve"> </w:t>
      </w:r>
      <w:r>
        <w:rPr>
          <w:rFonts w:ascii="Arial" w:cs="Arial" w:eastAsia="Arial" w:hAnsi="Arial"/>
          <w:sz w:val="16"/>
          <w:szCs w:val="16"/>
          <w:b w:val="1"/>
          <w:bCs w:val="1"/>
          <w:color w:val="auto"/>
        </w:rPr>
        <w:t>Allocation</w:t>
      </w:r>
      <w:r>
        <w:rPr>
          <w:rFonts w:ascii="Arial" w:cs="Arial" w:eastAsia="Arial" w:hAnsi="Arial"/>
          <w:sz w:val="16"/>
          <w:szCs w:val="16"/>
          <w:color w:val="auto"/>
        </w:rPr>
        <w:t>”). In the event that a holder shall sell or otherwise transfer any of such holder’s Warrants, each transferee shall be allocated a pro rata portion</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(without regard to any limitations on exercise).</w:t>
      </w:r>
    </w:p>
    <w:p>
      <w:pPr>
        <w:spacing w:after="0" w:line="137" w:lineRule="exact"/>
        <w:rPr>
          <w:rFonts w:ascii="Arial" w:cs="Arial" w:eastAsia="Arial" w:hAnsi="Arial"/>
          <w:sz w:val="16"/>
          <w:szCs w:val="16"/>
          <w:color w:val="auto"/>
        </w:rPr>
      </w:pPr>
    </w:p>
    <w:p>
      <w:pPr>
        <w:jc w:val="both"/>
        <w:ind w:left="4" w:firstLine="1293"/>
        <w:spacing w:after="0" w:line="282" w:lineRule="auto"/>
        <w:tabs>
          <w:tab w:leader="none" w:pos="1731"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notwithstanding Section 1(g)(i) above, and not in limitation thereof, at any time while any of the Warrants remain outstanding, the Company does not have a sufficient number of authorized and unreserved shares of Common Stock to satisfy its obligation to reserve the Required Reserve Amount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Section 1(f);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shall limit any obligations of the Company under any provision of the Securities Purchase Agreement.</w:t>
      </w:r>
    </w:p>
    <w:p>
      <w:pPr>
        <w:spacing w:after="0" w:line="200" w:lineRule="exact"/>
        <w:rPr>
          <w:sz w:val="20"/>
          <w:szCs w:val="20"/>
          <w:color w:val="auto"/>
        </w:rPr>
      </w:pPr>
    </w:p>
    <w:p>
      <w:pPr>
        <w:spacing w:after="0" w:line="38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90" w:right="239" w:bottom="1440" w:gutter="0" w:footer="0" w:header="0"/>
        </w:sectPr>
      </w:pPr>
    </w:p>
    <w:bookmarkStart w:id="52" w:name="page53"/>
    <w:bookmarkEnd w:id="52"/>
    <w:p>
      <w:pPr>
        <w:ind w:left="360" w:hanging="352"/>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Exercise Price and number of Warrant Shares issuable upon exercise of this Warrant are subject to adjustment from time to time as set forth in this Section 2.</w:t>
      </w:r>
    </w:p>
    <w:p>
      <w:pPr>
        <w:spacing w:after="0" w:line="219" w:lineRule="exact"/>
        <w:rPr>
          <w:sz w:val="20"/>
          <w:szCs w:val="20"/>
          <w:color w:val="auto"/>
        </w:rPr>
      </w:pPr>
    </w:p>
    <w:p>
      <w:pPr>
        <w:jc w:val="both"/>
        <w:ind w:firstLine="656"/>
        <w:spacing w:after="0" w:line="285" w:lineRule="auto"/>
        <w:tabs>
          <w:tab w:leader="none" w:pos="1059"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Without limiting any provision of Section 2(b), Section 3 or Section 4,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41" w:lineRule="exact"/>
        <w:rPr>
          <w:rFonts w:ascii="Arial" w:cs="Arial" w:eastAsia="Arial" w:hAnsi="Arial"/>
          <w:sz w:val="16"/>
          <w:szCs w:val="16"/>
          <w:color w:val="auto"/>
        </w:rPr>
      </w:pPr>
    </w:p>
    <w:p>
      <w:pPr>
        <w:jc w:val="both"/>
        <w:ind w:firstLine="656"/>
        <w:spacing w:after="0" w:line="288" w:lineRule="auto"/>
        <w:tabs>
          <w:tab w:leader="none" w:pos="1069"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03" w:lineRule="exact"/>
        <w:rPr>
          <w:rFonts w:ascii="Arial" w:cs="Arial" w:eastAsia="Arial" w:hAnsi="Arial"/>
          <w:sz w:val="16"/>
          <w:szCs w:val="16"/>
          <w:color w:val="auto"/>
        </w:rPr>
      </w:pPr>
    </w:p>
    <w:p>
      <w:pPr>
        <w:jc w:val="both"/>
        <w:ind w:firstLine="656"/>
        <w:spacing w:after="0" w:line="238" w:lineRule="auto"/>
        <w:tabs>
          <w:tab w:leader="none" w:pos="105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cent or the nearest 1/100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issuance or sale of Common Stock.</w:t>
      </w:r>
    </w:p>
    <w:p>
      <w:pPr>
        <w:spacing w:after="0" w:line="169"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656"/>
        <w:spacing w:after="0" w:line="268" w:lineRule="auto"/>
        <w:tabs>
          <w:tab w:leader="none" w:pos="107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3" w:name="page54"/>
    <w:bookmarkEnd w:id="53"/>
    <w:p>
      <w:pPr>
        <w:jc w:val="both"/>
        <w:ind w:firstLine="8"/>
        <w:spacing w:after="0" w:line="285" w:lineRule="auto"/>
        <w:tabs>
          <w:tab w:leader="none" w:pos="37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39" w:lineRule="exact"/>
        <w:rPr>
          <w:rFonts w:ascii="Arial" w:cs="Arial" w:eastAsia="Arial" w:hAnsi="Arial"/>
          <w:sz w:val="16"/>
          <w:szCs w:val="16"/>
          <w:color w:val="auto"/>
        </w:rPr>
      </w:pPr>
    </w:p>
    <w:p>
      <w:pPr>
        <w:ind w:left="360" w:hanging="352"/>
        <w:spacing w:after="0"/>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656"/>
        <w:spacing w:after="0" w:line="286" w:lineRule="auto"/>
        <w:tabs>
          <w:tab w:leader="none" w:pos="1555" w:val="left"/>
        </w:tabs>
        <w:numPr>
          <w:ilvl w:val="1"/>
          <w:numId w:val="7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4" w:name="page55"/>
    <w:bookmarkEnd w:id="54"/>
    <w:p>
      <w:pPr>
        <w:jc w:val="both"/>
        <w:ind w:firstLine="656"/>
        <w:spacing w:after="0" w:line="283" w:lineRule="auto"/>
        <w:tabs>
          <w:tab w:leader="none" w:pos="1069"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jc w:val="both"/>
        <w:ind w:firstLine="656"/>
        <w:spacing w:after="0" w:line="298" w:lineRule="auto"/>
        <w:tabs>
          <w:tab w:leader="none" w:pos="1059"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26" w:lineRule="exact"/>
        <w:rPr>
          <w:rFonts w:ascii="Arial" w:cs="Arial" w:eastAsia="Arial" w:hAnsi="Arial"/>
          <w:sz w:val="16"/>
          <w:szCs w:val="16"/>
          <w:color w:val="auto"/>
        </w:rPr>
      </w:pPr>
    </w:p>
    <w:p>
      <w:pPr>
        <w:ind w:left="360" w:hanging="352"/>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NONCIRCUMVENTION.</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w:t>
      </w:r>
    </w:p>
    <w:p>
      <w:pPr>
        <w:spacing w:after="0" w:line="132" w:lineRule="exact"/>
        <w:rPr>
          <w:sz w:val="20"/>
          <w:szCs w:val="20"/>
          <w:color w:val="auto"/>
        </w:rPr>
      </w:pPr>
    </w:p>
    <w:p>
      <w:pPr>
        <w:ind w:left="360" w:hanging="352"/>
        <w:spacing w:after="0"/>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WARRANT HOLDER NOT DEEMED A STOCKHOLDER.</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33"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p>
    <w:p>
      <w:pPr>
        <w:spacing w:after="0" w:line="184" w:lineRule="exact"/>
        <w:rPr>
          <w:rFonts w:ascii="Arial" w:cs="Arial" w:eastAsia="Arial" w:hAnsi="Arial"/>
          <w:sz w:val="18"/>
          <w:szCs w:val="18"/>
          <w:color w:val="auto"/>
        </w:rPr>
      </w:pPr>
    </w:p>
    <w:p>
      <w:pPr>
        <w:jc w:val="both"/>
        <w:ind w:firstLine="656"/>
        <w:spacing w:after="0" w:line="255" w:lineRule="auto"/>
        <w:tabs>
          <w:tab w:leader="none" w:pos="1609" w:val="left"/>
        </w:tabs>
        <w:numPr>
          <w:ilvl w:val="1"/>
          <w:numId w:val="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jc w:val="both"/>
        <w:ind w:firstLine="656"/>
        <w:spacing w:after="0" w:line="294" w:lineRule="auto"/>
        <w:tabs>
          <w:tab w:leader="none" w:pos="1069"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29" w:lineRule="exact"/>
        <w:rPr>
          <w:rFonts w:ascii="Arial" w:cs="Arial" w:eastAsia="Arial" w:hAnsi="Arial"/>
          <w:sz w:val="16"/>
          <w:szCs w:val="16"/>
          <w:color w:val="auto"/>
        </w:rPr>
      </w:pPr>
    </w:p>
    <w:p>
      <w:pPr>
        <w:jc w:val="both"/>
        <w:ind w:firstLine="656"/>
        <w:spacing w:after="0" w:line="298" w:lineRule="auto"/>
        <w:tabs>
          <w:tab w:leader="none" w:pos="1086"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26" w:lineRule="exact"/>
        <w:rPr>
          <w:rFonts w:ascii="Arial" w:cs="Arial" w:eastAsia="Arial" w:hAnsi="Arial"/>
          <w:sz w:val="16"/>
          <w:szCs w:val="16"/>
          <w:color w:val="auto"/>
        </w:rPr>
      </w:pPr>
    </w:p>
    <w:p>
      <w:pPr>
        <w:jc w:val="both"/>
        <w:ind w:firstLine="656"/>
        <w:spacing w:after="0" w:line="291" w:lineRule="auto"/>
        <w:tabs>
          <w:tab w:leader="none" w:pos="1069"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33" w:lineRule="exact"/>
        <w:rPr>
          <w:rFonts w:ascii="Arial" w:cs="Arial" w:eastAsia="Arial" w:hAnsi="Arial"/>
          <w:sz w:val="16"/>
          <w:szCs w:val="16"/>
          <w:color w:val="auto"/>
        </w:rPr>
      </w:pPr>
    </w:p>
    <w:p>
      <w:pPr>
        <w:ind w:left="360" w:hanging="352"/>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ten Trading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w:t>
      </w:r>
    </w:p>
    <w:p>
      <w:pPr>
        <w:spacing w:after="0" w:line="5" w:lineRule="exact"/>
        <w:rPr>
          <w:sz w:val="20"/>
          <w:szCs w:val="20"/>
          <w:color w:val="auto"/>
        </w:rPr>
      </w:pPr>
    </w:p>
    <w:p>
      <w:pPr>
        <w:jc w:val="both"/>
        <w:ind w:firstLine="8"/>
        <w:spacing w:after="0" w:line="287" w:lineRule="auto"/>
        <w:tabs>
          <w:tab w:leader="none" w:pos="33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7" w:name="page58"/>
    <w:bookmarkEnd w:id="57"/>
    <w:p>
      <w:pPr>
        <w:ind w:left="360" w:hanging="352"/>
        <w:spacing w:after="0"/>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154" w:lineRule="exact"/>
        <w:rPr>
          <w:sz w:val="20"/>
          <w:szCs w:val="20"/>
          <w:color w:val="auto"/>
        </w:rPr>
      </w:pPr>
    </w:p>
    <w:p>
      <w:pPr>
        <w:ind w:left="440" w:hanging="432"/>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59" w:lineRule="exact"/>
        <w:rPr>
          <w:sz w:val="20"/>
          <w:szCs w:val="20"/>
          <w:color w:val="auto"/>
        </w:rPr>
      </w:pPr>
    </w:p>
    <w:p>
      <w:pPr>
        <w:ind w:left="440" w:hanging="432"/>
        <w:spacing w:after="0"/>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This Warrant shall be governed by and construed and enforced in accordance with, and all questions concerning the construction, validity, interpretation and performance of this Warrant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hereby irrevocably waives personal service of process and consents to process being served in any such suit, action or proceeding by mailing a copy thereof to the Company at the address set forth in Section 9(f) of the Securities Purchase Agreement and agrees that such service shall constitute good and sufficient service of process and notice thereof. The Company hereby irrevocably submits to the exclusive jurisdiction of the state and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 JURY</w:t>
      </w:r>
    </w:p>
    <w:p>
      <w:pPr>
        <w:spacing w:after="0" w:line="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TRIAL FOR THE ADJUDICATION OF ANY DISPUTE HEREUNDER OR IN CONNECTION WITH OR ARISING OUT OF THIS WARRANT OR ANY TRANSACTION CONTEMPLATED HEREBY.</w:t>
      </w:r>
    </w:p>
    <w:p>
      <w:pPr>
        <w:spacing w:after="0" w:line="151" w:lineRule="exact"/>
        <w:rPr>
          <w:sz w:val="20"/>
          <w:szCs w:val="20"/>
          <w:color w:val="auto"/>
        </w:rPr>
      </w:pPr>
    </w:p>
    <w:p>
      <w:pPr>
        <w:ind w:left="440" w:hanging="432"/>
        <w:spacing w:after="0"/>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8" w:name="page59"/>
    <w:bookmarkEnd w:id="58"/>
    <w:p>
      <w:pPr>
        <w:ind w:left="440" w:hanging="432"/>
        <w:spacing w:after="0"/>
        <w:tabs>
          <w:tab w:leader="none" w:pos="4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184" w:lineRule="exact"/>
        <w:rPr>
          <w:rFonts w:ascii="Arial" w:cs="Arial" w:eastAsia="Arial" w:hAnsi="Arial"/>
          <w:sz w:val="18"/>
          <w:szCs w:val="18"/>
          <w:color w:val="auto"/>
        </w:rPr>
      </w:pPr>
    </w:p>
    <w:p>
      <w:pPr>
        <w:ind w:left="1560" w:hanging="904"/>
        <w:spacing w:after="0"/>
        <w:tabs>
          <w:tab w:leader="none" w:pos="1560" w:val="left"/>
        </w:tabs>
        <w:numPr>
          <w:ilvl w:val="1"/>
          <w:numId w:val="8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Submission to Dispute Resolution</w:t>
      </w:r>
      <w:r>
        <w:rPr>
          <w:rFonts w:ascii="Arial" w:cs="Arial" w:eastAsia="Arial" w:hAnsi="Arial"/>
          <w:sz w:val="18"/>
          <w:szCs w:val="18"/>
          <w:color w:val="auto"/>
        </w:rPr>
        <w:t>.</w:t>
      </w:r>
    </w:p>
    <w:p>
      <w:pPr>
        <w:spacing w:after="0" w:line="184" w:lineRule="exact"/>
        <w:rPr>
          <w:rFonts w:ascii="Arial" w:cs="Arial" w:eastAsia="Arial" w:hAnsi="Arial"/>
          <w:sz w:val="18"/>
          <w:szCs w:val="18"/>
          <w:u w:val="single" w:color="auto"/>
          <w:color w:val="auto"/>
        </w:rPr>
      </w:pPr>
    </w:p>
    <w:p>
      <w:pPr>
        <w:jc w:val="both"/>
        <w:ind w:left="660" w:firstLine="1293"/>
        <w:spacing w:after="0" w:line="276" w:lineRule="auto"/>
        <w:tabs>
          <w:tab w:leader="none" w:pos="2338" w:val="left"/>
        </w:tabs>
        <w:numPr>
          <w:ilvl w:val="2"/>
          <w:numId w:val="86"/>
        </w:numPr>
        <w:rPr>
          <w:rFonts w:ascii="Arial" w:cs="Arial" w:eastAsia="Arial" w:hAnsi="Arial"/>
          <w:sz w:val="16"/>
          <w:szCs w:val="16"/>
          <w:color w:val="auto"/>
        </w:rPr>
      </w:pPr>
      <w:r>
        <w:rPr>
          <w:rFonts w:ascii="Arial" w:cs="Arial" w:eastAsia="Arial" w:hAnsi="Arial"/>
          <w:sz w:val="16"/>
          <w:szCs w:val="16"/>
          <w:color w:val="auto"/>
        </w:rPr>
        <w:t>In the case of a dispute relating to the Exercise Price, the Closing Sale Price,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facsimile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or such fair market value or such arithmetic calculation of the number of Warrant Shares (as the case may be), at any time after the second (2</w:t>
      </w:r>
      <w:r>
        <w:rPr>
          <w:rFonts w:ascii="Arial" w:cs="Arial" w:eastAsia="Arial" w:hAnsi="Arial"/>
          <w:sz w:val="22"/>
          <w:szCs w:val="22"/>
          <w:color w:val="auto"/>
          <w:vertAlign w:val="superscript"/>
        </w:rPr>
        <w:t>nd</w:t>
      </w:r>
      <w:r>
        <w:rPr>
          <w:rFonts w:ascii="Arial" w:cs="Arial" w:eastAsia="Arial" w:hAnsi="Arial"/>
          <w:sz w:val="16"/>
          <w:szCs w:val="16"/>
          <w:color w:val="auto"/>
        </w:rPr>
        <w:t>)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spacing w:after="0" w:line="132" w:lineRule="exact"/>
        <w:rPr>
          <w:rFonts w:ascii="Arial" w:cs="Arial" w:eastAsia="Arial" w:hAnsi="Arial"/>
          <w:sz w:val="16"/>
          <w:szCs w:val="16"/>
          <w:color w:val="auto"/>
        </w:rPr>
      </w:pPr>
    </w:p>
    <w:p>
      <w:pPr>
        <w:jc w:val="both"/>
        <w:ind w:left="660" w:firstLine="1293"/>
        <w:spacing w:after="0" w:line="276" w:lineRule="auto"/>
        <w:tabs>
          <w:tab w:leader="none" w:pos="2414"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The Holder and the Company shall each deliver to such investment bank (A) a copy of the initial dispute submission so delivered in accordance with the first sentence of this Section 13 and (B) written documentation supporting its position with respect to such dispute, in each case, no later than 5:00 p.m. (New York time) by the fifth (5</w:t>
      </w:r>
      <w:r>
        <w:rPr>
          <w:rFonts w:ascii="Arial" w:cs="Arial" w:eastAsia="Arial" w:hAnsi="Arial"/>
          <w:sz w:val="22"/>
          <w:szCs w:val="22"/>
          <w:color w:val="auto"/>
          <w:vertAlign w:val="superscript"/>
        </w:rPr>
        <w:t>th</w:t>
      </w:r>
      <w:r>
        <w:rPr>
          <w:rFonts w:ascii="Arial" w:cs="Arial" w:eastAsia="Arial" w:hAnsi="Arial"/>
          <w:sz w:val="16"/>
          <w:szCs w:val="16"/>
          <w:color w:val="auto"/>
        </w:rPr>
        <w:t>) Business Day immediately following the date on which the Holder selected such investment bank (the “</w:t>
      </w:r>
      <w:r>
        <w:rPr>
          <w:rFonts w:ascii="Arial" w:cs="Arial" w:eastAsia="Arial" w:hAnsi="Arial"/>
          <w:sz w:val="16"/>
          <w:szCs w:val="16"/>
          <w:b w:val="1"/>
          <w:bCs w:val="1"/>
          <w:color w:val="auto"/>
        </w:rPr>
        <w:t>Dispute Submission Deadline</w:t>
      </w:r>
      <w:r>
        <w:rPr>
          <w:rFonts w:ascii="Arial" w:cs="Arial" w:eastAsia="Arial" w:hAnsi="Arial"/>
          <w:sz w:val="16"/>
          <w:szCs w:val="16"/>
          <w:color w:val="auto"/>
        </w:rPr>
        <w:t>”) (the documents referred to in the immediately preceding clauses (A) and (B) are collectively referred to herein as the “</w:t>
      </w:r>
      <w:r>
        <w:rPr>
          <w:rFonts w:ascii="Arial" w:cs="Arial" w:eastAsia="Arial" w:hAnsi="Arial"/>
          <w:sz w:val="16"/>
          <w:szCs w:val="16"/>
          <w:b w:val="1"/>
          <w:bCs w:val="1"/>
          <w:color w:val="auto"/>
        </w:rPr>
        <w:t>Required Dispute Documentation</w:t>
      </w:r>
      <w:r>
        <w:rPr>
          <w:rFonts w:ascii="Arial" w:cs="Arial" w:eastAsia="Arial" w:hAnsi="Arial"/>
          <w:sz w:val="16"/>
          <w:szCs w:val="16"/>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145" w:lineRule="exact"/>
        <w:rPr>
          <w:rFonts w:ascii="Arial" w:cs="Arial" w:eastAsia="Arial" w:hAnsi="Arial"/>
          <w:sz w:val="16"/>
          <w:szCs w:val="16"/>
          <w:color w:val="auto"/>
        </w:rPr>
      </w:pPr>
    </w:p>
    <w:p>
      <w:pPr>
        <w:jc w:val="both"/>
        <w:ind w:left="660" w:right="20" w:firstLine="1293"/>
        <w:spacing w:after="0" w:line="256" w:lineRule="auto"/>
        <w:tabs>
          <w:tab w:leader="none" w:pos="2449"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9" w:name="page60"/>
    <w:bookmarkEnd w:id="59"/>
    <w:p>
      <w:pPr>
        <w:jc w:val="both"/>
        <w:ind w:firstLine="656"/>
        <w:spacing w:after="0" w:line="301" w:lineRule="auto"/>
        <w:tabs>
          <w:tab w:leader="none" w:pos="1096" w:val="left"/>
        </w:tabs>
        <w:numPr>
          <w:ilvl w:val="1"/>
          <w:numId w:val="87"/>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The Company expressly acknowledges and agrees that (i) this Section 13 constitutes an agreement to arbitrate between the Company and the Holder (and constitutes an arbitration agreement) under the rules then in effect under § 7501, et seq. of the New York Civil Practice Law and Rules (“</w:t>
      </w:r>
      <w:r>
        <w:rPr>
          <w:rFonts w:ascii="Arial" w:cs="Arial" w:eastAsia="Arial" w:hAnsi="Arial"/>
          <w:sz w:val="15"/>
          <w:szCs w:val="15"/>
          <w:b w:val="1"/>
          <w:bCs w:val="1"/>
          <w:color w:val="auto"/>
        </w:rPr>
        <w:t>CPLR</w:t>
      </w:r>
      <w:r>
        <w:rPr>
          <w:rFonts w:ascii="Arial" w:cs="Arial" w:eastAsia="Arial" w:hAnsi="Arial"/>
          <w:sz w:val="15"/>
          <w:szCs w:val="15"/>
          <w:color w:val="auto"/>
        </w:rPr>
        <w:t>”) and that the Holder is authorized to apply for an order to compel arbitration pursuant to CPLR § 7503(a) in order to compel compliance with this Section 13, (ii) a dispute relating to the Exercise Price includes, without limitation, disputes as to (A) whether an issuance or sale or deemed issuance or sale of Common Stock occurred under Section 2(b), (B) the consideration per share at which an issuance or deemed issuance of Common Stock occurred, and (C) whether an agreement, instrument, security or the like constitutes and Option or Convertible Security, (iii)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(including, without limitation, determining (A) whether an issuance or sale or deemed issuance or sale of Common Stock occurred under Section 2(b), (B) the consideration per share at which an issuance or deemed issuance of Common Stock occurred, and</w:t>
      </w:r>
    </w:p>
    <w:p>
      <w:pPr>
        <w:spacing w:after="0" w:line="3" w:lineRule="exact"/>
        <w:rPr>
          <w:rFonts w:ascii="Arial" w:cs="Arial" w:eastAsia="Arial" w:hAnsi="Arial"/>
          <w:sz w:val="15"/>
          <w:szCs w:val="15"/>
          <w:color w:val="auto"/>
        </w:rPr>
      </w:pPr>
    </w:p>
    <w:p>
      <w:pPr>
        <w:jc w:val="both"/>
        <w:ind w:firstLine="8"/>
        <w:spacing w:after="0" w:line="292" w:lineRule="auto"/>
        <w:tabs>
          <w:tab w:leader="none" w:pos="2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whether an agreement, instrument, security or the like constitutes and Option or Convertible Security and in resolving such dispute such investment bank shall apply such findings, determinations and the like to the terms of this Warrant and any other applicable Transaction Documents, (iv) the Holder (and only the Holder), in its sole discretion, shall have the right to submit any dispute described in this Section 13 to any state or federal court sitting in The City of New York, Borough of Manhattan in lieu of utilizing the procedures set forth in this Section 13 and (v) nothing in this Section 13 shall limit the Holder from obtaining any injunctive relief or other equitable remedies (including, without limitation, with respect to any matters described in this Section 13).</w:t>
      </w:r>
    </w:p>
    <w:p>
      <w:pPr>
        <w:spacing w:after="0" w:line="130" w:lineRule="exact"/>
        <w:rPr>
          <w:sz w:val="20"/>
          <w:szCs w:val="20"/>
          <w:color w:val="auto"/>
        </w:rPr>
      </w:pPr>
    </w:p>
    <w:p>
      <w:pPr>
        <w:ind w:left="440" w:hanging="432"/>
        <w:spacing w:after="0"/>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REMEDIES, CHARACTERIZATION, OTHER OBLIGATIONS, BREACHES AND INJUNCTIVE RELIEF.</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0" w:name="page61"/>
    <w:bookmarkEnd w:id="60"/>
    <w:p>
      <w:pPr>
        <w:jc w:val="both"/>
        <w:ind w:firstLine="8"/>
        <w:spacing w:after="0" w:line="294" w:lineRule="auto"/>
        <w:tabs>
          <w:tab w:leader="none" w:pos="463"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PAYMENT OF COLLECTION, ENFORCEMENT AND OTHER COSTS</w:t>
      </w:r>
      <w:r>
        <w:rPr>
          <w:rFonts w:ascii="Arial" w:cs="Arial" w:eastAsia="Arial" w:hAnsi="Arial"/>
          <w:sz w:val="16"/>
          <w:szCs w:val="16"/>
          <w:color w:val="auto"/>
        </w:rPr>
        <w:t>.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129" w:lineRule="exact"/>
        <w:rPr>
          <w:rFonts w:ascii="Arial" w:cs="Arial" w:eastAsia="Arial" w:hAnsi="Arial"/>
          <w:sz w:val="16"/>
          <w:szCs w:val="16"/>
          <w:color w:val="auto"/>
        </w:rPr>
      </w:pPr>
    </w:p>
    <w:p>
      <w:pPr>
        <w:ind w:left="980" w:hanging="972"/>
        <w:spacing w:after="0"/>
        <w:tabs>
          <w:tab w:leader="none" w:pos="980" w:val="left"/>
        </w:tabs>
        <w:numPr>
          <w:ilvl w:val="0"/>
          <w:numId w:val="9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TRANSFER.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Subject to applicable laws, this Warrant may be offered for sale, sold, transferred or assigned without the consent of the Company.</w:t>
      </w:r>
    </w:p>
    <w:p>
      <w:pPr>
        <w:spacing w:after="0" w:line="185" w:lineRule="exact"/>
        <w:rPr>
          <w:sz w:val="20"/>
          <w:szCs w:val="20"/>
          <w:color w:val="auto"/>
        </w:rPr>
      </w:pPr>
    </w:p>
    <w:p>
      <w:pPr>
        <w:ind w:left="440" w:hanging="432"/>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Warrant, the following terms shall have the following meanings:</w:t>
      </w:r>
    </w:p>
    <w:p>
      <w:pPr>
        <w:spacing w:after="0" w:line="179" w:lineRule="exact"/>
        <w:rPr>
          <w:sz w:val="20"/>
          <w:szCs w:val="20"/>
          <w:color w:val="auto"/>
        </w:rPr>
      </w:pPr>
    </w:p>
    <w:p>
      <w:pPr>
        <w:ind w:left="1060" w:hanging="40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 and the rules and regulations thereunder.</w:t>
      </w:r>
    </w:p>
    <w:p>
      <w:pPr>
        <w:spacing w:after="0" w:line="184"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 as amended, and the rules and regulations thereunder.</w:t>
      </w:r>
    </w:p>
    <w:p>
      <w:pPr>
        <w:spacing w:after="0" w:line="184" w:lineRule="exact"/>
        <w:rPr>
          <w:rFonts w:ascii="Arial" w:cs="Arial" w:eastAsia="Arial" w:hAnsi="Arial"/>
          <w:sz w:val="18"/>
          <w:szCs w:val="18"/>
          <w:color w:val="auto"/>
        </w:rPr>
      </w:pPr>
    </w:p>
    <w:p>
      <w:pPr>
        <w:jc w:val="both"/>
        <w:ind w:firstLine="656"/>
        <w:spacing w:after="0" w:line="258" w:lineRule="auto"/>
        <w:tabs>
          <w:tab w:leader="none" w:pos="1059"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49" w:lineRule="exact"/>
        <w:rPr>
          <w:rFonts w:ascii="Arial" w:cs="Arial" w:eastAsia="Arial" w:hAnsi="Arial"/>
          <w:sz w:val="18"/>
          <w:szCs w:val="18"/>
          <w:color w:val="auto"/>
        </w:rPr>
      </w:pPr>
    </w:p>
    <w:p>
      <w:pPr>
        <w:jc w:val="both"/>
        <w:ind w:firstLine="656"/>
        <w:spacing w:after="0" w:line="293" w:lineRule="auto"/>
        <w:tabs>
          <w:tab w:leader="none" w:pos="1083"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24" w:lineRule="exact"/>
        <w:rPr>
          <w:rFonts w:ascii="Arial" w:cs="Arial" w:eastAsia="Arial" w:hAnsi="Arial"/>
          <w:sz w:val="16"/>
          <w:szCs w:val="16"/>
          <w:color w:val="auto"/>
        </w:rPr>
      </w:pPr>
    </w:p>
    <w:p>
      <w:pPr>
        <w:jc w:val="both"/>
        <w:ind w:firstLine="656"/>
        <w:spacing w:after="0" w:line="288" w:lineRule="auto"/>
        <w:tabs>
          <w:tab w:leader="none" w:pos="1059"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1" w:name="page62"/>
    <w:bookmarkEnd w:id="61"/>
    <w:p>
      <w:pPr>
        <w:ind w:left="1040" w:hanging="384"/>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184" w:lineRule="exact"/>
        <w:rPr>
          <w:rFonts w:ascii="Arial" w:cs="Arial" w:eastAsia="Arial" w:hAnsi="Arial"/>
          <w:sz w:val="18"/>
          <w:szCs w:val="18"/>
          <w:color w:val="auto"/>
        </w:rPr>
      </w:pPr>
    </w:p>
    <w:p>
      <w:pPr>
        <w:ind w:right="20" w:firstLine="656"/>
        <w:spacing w:after="0" w:line="275" w:lineRule="auto"/>
        <w:tabs>
          <w:tab w:leader="none" w:pos="1069"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33" w:lineRule="exact"/>
        <w:rPr>
          <w:rFonts w:ascii="Arial" w:cs="Arial" w:eastAsia="Arial" w:hAnsi="Arial"/>
          <w:sz w:val="18"/>
          <w:szCs w:val="18"/>
          <w:color w:val="auto"/>
        </w:rPr>
      </w:pPr>
    </w:p>
    <w:p>
      <w:pPr>
        <w:jc w:val="both"/>
        <w:ind w:firstLine="656"/>
        <w:spacing w:after="0" w:line="287" w:lineRule="auto"/>
        <w:tabs>
          <w:tab w:leader="none" w:pos="1069"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OTC Markets Group Inc. (formerly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32" w:lineRule="exact"/>
        <w:rPr>
          <w:rFonts w:ascii="Arial" w:cs="Arial" w:eastAsia="Arial" w:hAnsi="Arial"/>
          <w:sz w:val="16"/>
          <w:szCs w:val="16"/>
          <w:color w:val="auto"/>
        </w:rPr>
      </w:pPr>
    </w:p>
    <w:p>
      <w:pPr>
        <w:ind w:firstLine="656"/>
        <w:spacing w:after="0" w:line="275" w:lineRule="auto"/>
        <w:tabs>
          <w:tab w:leader="none" w:pos="1044"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$0.0001 par value per share, and (ii) any capital stock into which such common stock shall have been changed or any share capital resulting from a reclassification of such common stock.</w:t>
      </w:r>
    </w:p>
    <w:p>
      <w:pPr>
        <w:spacing w:after="0" w:line="133" w:lineRule="exact"/>
        <w:rPr>
          <w:rFonts w:ascii="Arial" w:cs="Arial" w:eastAsia="Arial" w:hAnsi="Arial"/>
          <w:sz w:val="18"/>
          <w:szCs w:val="18"/>
          <w:color w:val="auto"/>
        </w:rPr>
      </w:pPr>
    </w:p>
    <w:p>
      <w:pPr>
        <w:ind w:firstLine="656"/>
        <w:spacing w:after="0" w:line="339" w:lineRule="auto"/>
        <w:tabs>
          <w:tab w:leader="none" w:pos="1044"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87" w:lineRule="exact"/>
        <w:rPr>
          <w:rFonts w:ascii="Arial" w:cs="Arial" w:eastAsia="Arial" w:hAnsi="Arial"/>
          <w:sz w:val="16"/>
          <w:szCs w:val="16"/>
          <w:color w:val="auto"/>
        </w:rPr>
      </w:pPr>
    </w:p>
    <w:p>
      <w:pPr>
        <w:ind w:firstLine="656"/>
        <w:spacing w:after="0" w:line="275" w:lineRule="auto"/>
        <w:tabs>
          <w:tab w:leader="none" w:pos="1069"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American, The Nasdaq Global Select Market, The Nasdaq Global Market or the Principal Market.</w:t>
      </w:r>
    </w:p>
    <w:p>
      <w:pPr>
        <w:spacing w:after="0" w:line="109" w:lineRule="exact"/>
        <w:rPr>
          <w:rFonts w:ascii="Arial" w:cs="Arial" w:eastAsia="Arial" w:hAnsi="Arial"/>
          <w:sz w:val="18"/>
          <w:szCs w:val="18"/>
          <w:color w:val="auto"/>
        </w:rPr>
      </w:pPr>
    </w:p>
    <w:p>
      <w:pPr>
        <w:ind w:firstLine="656"/>
        <w:spacing w:after="0" w:line="232" w:lineRule="auto"/>
        <w:tabs>
          <w:tab w:leader="none" w:pos="103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w:t>
      </w:r>
      <w:r>
        <w:rPr>
          <w:rFonts w:ascii="Arial" w:cs="Arial" w:eastAsia="Arial" w:hAnsi="Arial"/>
          <w:sz w:val="24"/>
          <w:szCs w:val="24"/>
          <w:color w:val="auto"/>
          <w:vertAlign w:val="superscript"/>
        </w:rPr>
        <w:t>th</w:t>
      </w:r>
      <w:r>
        <w:rPr>
          <w:rFonts w:ascii="Arial" w:cs="Arial" w:eastAsia="Arial" w:hAnsi="Arial"/>
          <w:sz w:val="18"/>
          <w:szCs w:val="18"/>
          <w:color w:val="auto"/>
        </w:rPr>
        <w:t>) anniversary of the Initial Exercise Date or, if such date falls on a day other than a Trading Day or on which trading does not take place on the Principal Market (a “</w:t>
      </w:r>
      <w:r>
        <w:rPr>
          <w:rFonts w:ascii="Arial" w:cs="Arial" w:eastAsia="Arial" w:hAnsi="Arial"/>
          <w:sz w:val="18"/>
          <w:szCs w:val="18"/>
          <w:b w:val="1"/>
          <w:bCs w:val="1"/>
          <w:color w:val="auto"/>
        </w:rPr>
        <w:t>Holiday</w:t>
      </w:r>
      <w:r>
        <w:rPr>
          <w:rFonts w:ascii="Arial" w:cs="Arial" w:eastAsia="Arial" w:hAnsi="Arial"/>
          <w:sz w:val="18"/>
          <w:szCs w:val="18"/>
          <w:color w:val="auto"/>
        </w:rPr>
        <w:t>”), the next date that is not a Holiday.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jc w:val="both"/>
        <w:ind w:firstLine="656"/>
        <w:spacing w:after="0" w:line="283" w:lineRule="auto"/>
        <w:tabs>
          <w:tab w:leader="none" w:pos="1162"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shareholders of the Company to surrender their shares of Common Stock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50" w:lineRule="exact"/>
        <w:rPr>
          <w:rFonts w:ascii="Arial" w:cs="Arial" w:eastAsia="Arial" w:hAnsi="Arial"/>
          <w:sz w:val="16"/>
          <w:szCs w:val="16"/>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a “group” as that term is used in Section 13(d) of the 1934 Act and as defined in Rule 13d-5 thereunder.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184" w:lineRule="exact"/>
        <w:rPr>
          <w:rFonts w:ascii="Arial" w:cs="Arial" w:eastAsia="Arial" w:hAnsi="Arial"/>
          <w:sz w:val="18"/>
          <w:szCs w:val="18"/>
          <w:color w:val="auto"/>
        </w:rPr>
      </w:pPr>
    </w:p>
    <w:p>
      <w:pPr>
        <w:jc w:val="both"/>
        <w:ind w:firstLine="656"/>
        <w:spacing w:after="0" w:line="262" w:lineRule="auto"/>
        <w:tabs>
          <w:tab w:leader="none" w:pos="1083"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45" w:lineRule="exact"/>
        <w:rPr>
          <w:rFonts w:ascii="Arial" w:cs="Arial" w:eastAsia="Arial" w:hAnsi="Arial"/>
          <w:sz w:val="18"/>
          <w:szCs w:val="18"/>
          <w:color w:val="auto"/>
        </w:rPr>
      </w:pPr>
    </w:p>
    <w:p>
      <w:pPr>
        <w:ind w:firstLine="656"/>
        <w:spacing w:after="0" w:line="275" w:lineRule="auto"/>
        <w:tabs>
          <w:tab w:leader="none" w:pos="1083"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33" w:lineRule="exact"/>
        <w:rPr>
          <w:rFonts w:ascii="Arial" w:cs="Arial" w:eastAsia="Arial" w:hAnsi="Arial"/>
          <w:sz w:val="18"/>
          <w:szCs w:val="18"/>
          <w:color w:val="auto"/>
        </w:rPr>
      </w:pPr>
    </w:p>
    <w:p>
      <w:pPr>
        <w:ind w:left="1040" w:hanging="384"/>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The Nasdaq Capital Market.</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the successor thereto.</w:t>
      </w:r>
    </w:p>
    <w:p>
      <w:pPr>
        <w:spacing w:after="0" w:line="184" w:lineRule="exact"/>
        <w:rPr>
          <w:rFonts w:ascii="Arial" w:cs="Arial" w:eastAsia="Arial" w:hAnsi="Arial"/>
          <w:sz w:val="18"/>
          <w:szCs w:val="18"/>
          <w:color w:val="auto"/>
        </w:rPr>
      </w:pPr>
    </w:p>
    <w:p>
      <w:pPr>
        <w:ind w:left="1040" w:hanging="384"/>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“Subject Entity</w:t>
      </w:r>
      <w:r>
        <w:rPr>
          <w:rFonts w:ascii="Arial" w:cs="Arial" w:eastAsia="Arial" w:hAnsi="Arial"/>
          <w:sz w:val="18"/>
          <w:szCs w:val="18"/>
          <w:color w:val="auto"/>
        </w:rPr>
        <w:t>” means any Person, Persons or Group or any Affiliate or associate of any such Person, Persons or Group.</w:t>
      </w:r>
    </w:p>
    <w:p>
      <w:pPr>
        <w:spacing w:after="0" w:line="184" w:lineRule="exact"/>
        <w:rPr>
          <w:rFonts w:ascii="Arial" w:cs="Arial" w:eastAsia="Arial" w:hAnsi="Arial"/>
          <w:sz w:val="18"/>
          <w:szCs w:val="18"/>
          <w:color w:val="auto"/>
        </w:rPr>
      </w:pPr>
    </w:p>
    <w:p>
      <w:pPr>
        <w:ind w:firstLine="656"/>
        <w:spacing w:after="0" w:line="339" w:lineRule="auto"/>
        <w:tabs>
          <w:tab w:leader="none" w:pos="1069"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87" w:lineRule="exact"/>
        <w:rPr>
          <w:rFonts w:ascii="Arial" w:cs="Arial" w:eastAsia="Arial" w:hAnsi="Arial"/>
          <w:sz w:val="16"/>
          <w:szCs w:val="16"/>
          <w:color w:val="auto"/>
        </w:rPr>
      </w:pPr>
    </w:p>
    <w:p>
      <w:pPr>
        <w:jc w:val="both"/>
        <w:ind w:firstLine="656"/>
        <w:spacing w:after="0" w:line="290" w:lineRule="auto"/>
        <w:tabs>
          <w:tab w:leader="none" w:pos="1083"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p>
    <w:p>
      <w:pPr>
        <w:spacing w:after="0" w:line="125" w:lineRule="exact"/>
        <w:rPr>
          <w:rFonts w:ascii="Arial" w:cs="Arial" w:eastAsia="Arial" w:hAnsi="Arial"/>
          <w:sz w:val="16"/>
          <w:szCs w:val="16"/>
          <w:color w:val="auto"/>
        </w:rPr>
      </w:pPr>
    </w:p>
    <w:p>
      <w:pPr>
        <w:jc w:val="both"/>
        <w:ind w:firstLine="656"/>
        <w:spacing w:after="0" w:line="287" w:lineRule="auto"/>
        <w:tabs>
          <w:tab w:leader="none" w:pos="1108"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recapitalization or other similar transaction during such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TO PURCHASE COMMON STOCK</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holder hereby elects to exercise the Warrant to Purchase Common Stock No. _______ (the “</w:t>
      </w:r>
      <w:r>
        <w:rPr>
          <w:rFonts w:ascii="Arial" w:cs="Arial" w:eastAsia="Arial" w:hAnsi="Arial"/>
          <w:sz w:val="16"/>
          <w:szCs w:val="16"/>
          <w:b w:val="1"/>
          <w:bCs w:val="1"/>
          <w:color w:val="auto"/>
        </w:rPr>
        <w:t>Warrant</w:t>
      </w:r>
      <w:r>
        <w:rPr>
          <w:rFonts w:ascii="Arial" w:cs="Arial" w:eastAsia="Arial" w:hAnsi="Arial"/>
          <w:sz w:val="16"/>
          <w:szCs w:val="16"/>
          <w:color w:val="auto"/>
        </w:rPr>
        <w:t>”) of VistaGen Therapeutics, Inc.,</w:t>
      </w:r>
    </w:p>
    <w:p>
      <w:pPr>
        <w:spacing w:after="0" w:line="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as specified below. Capitalized terms used herein and not otherwise defined shall have the respective meanings set forth in the Warrant.</w:t>
      </w:r>
    </w:p>
    <w:p>
      <w:pPr>
        <w:spacing w:after="0" w:line="124" w:lineRule="exact"/>
        <w:rPr>
          <w:sz w:val="20"/>
          <w:szCs w:val="20"/>
          <w:color w:val="auto"/>
        </w:rPr>
      </w:pPr>
    </w:p>
    <w:p>
      <w:pPr>
        <w:ind w:left="1280" w:hanging="624"/>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Aggregate Exercise Price shall be made as:</w:t>
      </w:r>
    </w:p>
    <w:p>
      <w:pPr>
        <w:spacing w:after="0" w:line="157" w:lineRule="exact"/>
        <w:rPr>
          <w:rFonts w:ascii="Arial" w:cs="Arial" w:eastAsia="Arial" w:hAnsi="Arial"/>
          <w:sz w:val="18"/>
          <w:szCs w:val="18"/>
          <w:color w:val="auto"/>
        </w:rPr>
      </w:pPr>
    </w:p>
    <w:p>
      <w:pPr>
        <w:ind w:left="2300" w:hanging="347"/>
        <w:spacing w:after="0"/>
        <w:tabs>
          <w:tab w:leader="none" w:pos="2300" w:val="left"/>
        </w:tabs>
        <w:numPr>
          <w:ilvl w:val="1"/>
          <w:numId w:val="96"/>
        </w:numPr>
        <w:rPr>
          <w:rFonts w:ascii="MS PGothic" w:cs="MS PGothic" w:eastAsia="MS PGothic" w:hAnsi="MS PGothic"/>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_________________ Warrant Shares; and/or</w:t>
      </w:r>
    </w:p>
    <w:p>
      <w:pPr>
        <w:spacing w:after="0" w:line="23" w:lineRule="exact"/>
        <w:rPr>
          <w:rFonts w:ascii="MS PGothic" w:cs="MS PGothic" w:eastAsia="MS PGothic" w:hAnsi="MS PGothic"/>
          <w:sz w:val="18"/>
          <w:szCs w:val="18"/>
          <w:color w:val="auto"/>
        </w:rPr>
      </w:pPr>
    </w:p>
    <w:p>
      <w:pPr>
        <w:ind w:left="2260" w:hanging="307"/>
        <w:spacing w:after="0"/>
        <w:tabs>
          <w:tab w:leader="none" w:pos="2260" w:val="left"/>
        </w:tabs>
        <w:numPr>
          <w:ilvl w:val="1"/>
          <w:numId w:val="96"/>
        </w:numPr>
        <w:rPr>
          <w:rFonts w:ascii="MS PGothic" w:cs="MS PGothic" w:eastAsia="MS PGothic" w:hAnsi="MS PGothic"/>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Cashless Exercise</w:t>
      </w:r>
      <w:r>
        <w:rPr>
          <w:rFonts w:ascii="Arial" w:cs="Arial" w:eastAsia="Arial" w:hAnsi="Arial"/>
          <w:sz w:val="18"/>
          <w:szCs w:val="18"/>
          <w:color w:val="auto"/>
        </w:rPr>
        <w:t>” with respect to _______________ Warrant Shares.</w:t>
      </w:r>
    </w:p>
    <w:p>
      <w:pPr>
        <w:spacing w:after="0" w:line="144"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In the event that the Holder has elected a Cashless Exercise with respect to some or all of the Warrant Shares to be issued pursuant hereto, the Holder hereby represents and warrants that this Exercise Notice was executed by the Holder at __________ [a.m.][p.m.] on the date set forth below.</w:t>
      </w:r>
    </w:p>
    <w:p>
      <w:pPr>
        <w:spacing w:after="0" w:line="72" w:lineRule="exact"/>
        <w:rPr>
          <w:sz w:val="20"/>
          <w:szCs w:val="20"/>
          <w:color w:val="auto"/>
        </w:rPr>
      </w:pPr>
    </w:p>
    <w:p>
      <w:pPr>
        <w:jc w:val="both"/>
        <w:ind w:firstLine="656"/>
        <w:spacing w:after="0" w:line="259" w:lineRule="auto"/>
        <w:tabs>
          <w:tab w:leader="none" w:pos="138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26" w:lineRule="exact"/>
        <w:rPr>
          <w:rFonts w:ascii="Arial" w:cs="Arial" w:eastAsia="Arial" w:hAnsi="Arial"/>
          <w:sz w:val="18"/>
          <w:szCs w:val="18"/>
          <w:color w:val="auto"/>
        </w:rPr>
      </w:pPr>
    </w:p>
    <w:p>
      <w:pPr>
        <w:ind w:right="20" w:firstLine="656"/>
        <w:spacing w:after="0" w:line="268" w:lineRule="auto"/>
        <w:tabs>
          <w:tab w:leader="none" w:pos="1303"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w:t>
      </w:r>
      <w:r>
        <w:rPr>
          <w:rFonts w:ascii="Arial" w:cs="Arial" w:eastAsia="Arial" w:hAnsi="Arial"/>
          <w:sz w:val="18"/>
          <w:szCs w:val="18"/>
          <w:color w:val="auto"/>
        </w:rPr>
        <w:t>. The Company shall deliver to Holder, or its designee or agent as specified below, __________ shares of Common Stock in accordance with the terms of the Warrant. Delivery shall be made to Holder, or for its benefit, as follows:</w:t>
      </w:r>
    </w:p>
    <w:p>
      <w:pPr>
        <w:spacing w:after="0" w:line="118" w:lineRule="exact"/>
        <w:rPr>
          <w:rFonts w:ascii="Arial" w:cs="Arial" w:eastAsia="Arial" w:hAnsi="Arial"/>
          <w:sz w:val="18"/>
          <w:szCs w:val="18"/>
          <w:color w:val="auto"/>
        </w:rPr>
      </w:pPr>
    </w:p>
    <w:p>
      <w:pPr>
        <w:ind w:left="1640" w:hanging="335"/>
        <w:spacing w:after="0"/>
        <w:tabs>
          <w:tab w:leader="none" w:pos="1640" w:val="left"/>
        </w:tabs>
        <w:numPr>
          <w:ilvl w:val="1"/>
          <w:numId w:val="97"/>
        </w:numPr>
        <w:rPr>
          <w:rFonts w:ascii="MS PGothic" w:cs="MS PGothic" w:eastAsia="MS PGothic" w:hAnsi="MS PGothic"/>
          <w:sz w:val="18"/>
          <w:szCs w:val="18"/>
          <w:color w:val="auto"/>
        </w:rPr>
      </w:pPr>
      <w:r>
        <w:rPr>
          <w:rFonts w:ascii="Arial" w:cs="Arial" w:eastAsia="Arial" w:hAnsi="Arial"/>
          <w:sz w:val="18"/>
          <w:szCs w:val="18"/>
          <w:color w:val="auto"/>
        </w:rPr>
        <w:t>Check here if requesting delivery as a certificate to the following name and to the following address: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10795</wp:posOffset>
            </wp:positionV>
            <wp:extent cx="57975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7550" cy="1714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165735</wp:posOffset>
            </wp:positionV>
            <wp:extent cx="57975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7550" cy="1714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320040</wp:posOffset>
            </wp:positionV>
            <wp:extent cx="57975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40" w:hanging="335"/>
        <w:spacing w:after="0"/>
        <w:tabs>
          <w:tab w:leader="none" w:pos="1640" w:val="left"/>
        </w:tabs>
        <w:numPr>
          <w:ilvl w:val="0"/>
          <w:numId w:val="98"/>
        </w:numPr>
        <w:rPr>
          <w:rFonts w:ascii="MS PGothic" w:cs="MS PGothic" w:eastAsia="MS PGothic" w:hAnsi="MS PGothic"/>
          <w:sz w:val="18"/>
          <w:szCs w:val="18"/>
          <w:color w:val="auto"/>
        </w:rPr>
      </w:pPr>
      <w:r>
        <w:rPr>
          <w:rFonts w:ascii="Arial" w:cs="Arial" w:eastAsia="Arial" w:hAnsi="Arial"/>
          <w:sz w:val="18"/>
          <w:szCs w:val="18"/>
          <w:color w:val="auto"/>
        </w:rPr>
        <w:t>Check here if requesting delivery by Deposit/Withdrawal at Custodian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10795</wp:posOffset>
            </wp:positionV>
            <wp:extent cx="521398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10795</wp:posOffset>
            </wp:positionV>
            <wp:extent cx="521398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10795</wp:posOffset>
            </wp:positionV>
            <wp:extent cx="521398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 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By: Name: Title: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ID:____________________________</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Facsimile:__________________________</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Address:_____________________</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Company hereby acknowledges this Exercise Notice and hereby directs ______________ to issue the above indicated number of shares of Common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in accordance with the Transfer Agent Instructions dated _________, 201_, from the Company and acknowledged and agreed to by _______________.</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1."/>
      <w:numFmt w:val="decimal"/>
      <w:start w:val="1"/>
    </w:lvl>
    <w:lvl w:ilvl="1">
      <w:lvlJc w:val="left"/>
      <w:lvlText w:val="(%2)"/>
      <w:numFmt w:val="lowerLetter"/>
      <w:start w:val="1"/>
    </w:lvl>
  </w:abstractNum>
  <w:abstractNum w:abstractNumId="2">
    <w:nsid w:val="3DC240FB"/>
    <w:multiLevelType w:val="hybridMultilevel"/>
    <w:lvl w:ilvl="0">
      <w:lvlJc w:val="left"/>
      <w:lvlText w:val="%1"/>
      <w:numFmt w:val="decimal"/>
      <w:start w:val="1"/>
    </w:lvl>
    <w:lvl w:ilvl="1">
      <w:lvlJc w:val="left"/>
      <w:lvlText w:val="(%2)"/>
      <w:numFmt w:val="lowerLetter"/>
      <w:start w:val="4"/>
    </w:lvl>
  </w:abstractNum>
  <w:abstractNum w:abstractNumId="3">
    <w:nsid w:val="1BA026FA"/>
    <w:multiLevelType w:val="hybridMultilevel"/>
    <w:lvl w:ilvl="0">
      <w:lvlJc w:val="left"/>
      <w:lvlText w:val="%1."/>
      <w:numFmt w:val="decimal"/>
      <w:start w:val="2"/>
    </w:lvl>
    <w:lvl w:ilvl="1">
      <w:lvlJc w:val="left"/>
      <w:lvlText w:val="(%2)"/>
      <w:numFmt w:val="lowerLetter"/>
      <w:start w:val="1"/>
    </w:lvl>
  </w:abstractNum>
  <w:abstractNum w:abstractNumId="4">
    <w:nsid w:val="79A1DEAA"/>
    <w:multiLevelType w:val="hybridMultilevel"/>
    <w:lvl w:ilvl="0">
      <w:lvlJc w:val="left"/>
      <w:lvlText w:val="(%1)"/>
      <w:numFmt w:val="lowerLetter"/>
      <w:start w:val="6"/>
    </w:lvl>
  </w:abstractNum>
  <w:abstractNum w:abstractNumId="5">
    <w:nsid w:val="75C6C33A"/>
    <w:multiLevelType w:val="hybridMultilevel"/>
    <w:lvl w:ilvl="0">
      <w:lvlJc w:val="left"/>
      <w:lvlText w:val="%1"/>
      <w:numFmt w:val="decimal"/>
      <w:start w:val="1"/>
    </w:lvl>
    <w:lvl w:ilvl="1">
      <w:lvlJc w:val="left"/>
      <w:lvlText w:val="(%2)"/>
      <w:numFmt w:val="lowerLetter"/>
      <w:start w:val="12"/>
    </w:lvl>
  </w:abstractNum>
  <w:abstractNum w:abstractNumId="6">
    <w:nsid w:val="12E685FB"/>
    <w:multiLevelType w:val="hybridMultilevel"/>
    <w:lvl w:ilvl="0">
      <w:lvlJc w:val="left"/>
      <w:lvlText w:val="%1."/>
      <w:numFmt w:val="decimal"/>
      <w:start w:val="3"/>
    </w:lvl>
    <w:lvl w:ilvl="1">
      <w:lvlJc w:val="left"/>
      <w:lvlText w:val="%2"/>
      <w:numFmt w:val="lowerLetter"/>
      <w:start w:val="1"/>
    </w:lvl>
  </w:abstractNum>
  <w:abstractNum w:abstractNumId="7">
    <w:nsid w:val="70C6A529"/>
    <w:multiLevelType w:val="hybridMultilevel"/>
    <w:lvl w:ilvl="0">
      <w:lvlJc w:val="left"/>
      <w:lvlText w:val="(%1)"/>
      <w:numFmt w:val="lowerLetter"/>
      <w:start w:val="1"/>
    </w:lvl>
  </w:abstractNum>
  <w:abstractNum w:abstractNumId="8">
    <w:nsid w:val="520EEDD1"/>
    <w:multiLevelType w:val="hybridMultilevel"/>
    <w:lvl w:ilvl="0">
      <w:lvlJc w:val="left"/>
      <w:lvlText w:val="(%1)"/>
      <w:numFmt w:val="lowerLetter"/>
      <w:start w:val="2"/>
    </w:lvl>
  </w:abstractNum>
  <w:abstractNum w:abstractNumId="9">
    <w:nsid w:val="374A3FE6"/>
    <w:multiLevelType w:val="hybridMultilevel"/>
    <w:lvl w:ilvl="0">
      <w:lvlJc w:val="left"/>
      <w:lvlText w:val="(%1)"/>
      <w:numFmt w:val="lowerLetter"/>
      <w:start w:val="3"/>
    </w:lvl>
  </w:abstractNum>
  <w:abstractNum w:abstractNumId="10">
    <w:nsid w:val="4F4EF005"/>
    <w:multiLevelType w:val="hybridMultilevel"/>
    <w:lvl w:ilvl="0">
      <w:lvlJc w:val="left"/>
      <w:lvlText w:val="%1"/>
      <w:numFmt w:val="lowerLetter"/>
      <w:start w:val="1"/>
    </w:lvl>
    <w:lvl w:ilvl="1">
      <w:lvlJc w:val="left"/>
      <w:lvlText w:val="(%2)"/>
      <w:numFmt w:val="lowerLetter"/>
      <w:start w:val="4"/>
    </w:lvl>
  </w:abstractNum>
  <w:abstractNum w:abstractNumId="11">
    <w:nsid w:val="23F9C13C"/>
    <w:multiLevelType w:val="hybridMultilevel"/>
    <w:lvl w:ilvl="0">
      <w:lvlJc w:val="left"/>
      <w:lvlText w:val="(%1)"/>
      <w:numFmt w:val="lowerLetter"/>
      <w:start w:val="35"/>
    </w:lvl>
    <w:lvl w:ilvl="1">
      <w:lvlJc w:val="left"/>
      <w:lvlText w:val="(%2)"/>
      <w:numFmt w:val="lowerLetter"/>
      <w:start w:val="6"/>
    </w:lvl>
  </w:abstractNum>
  <w:abstractNum w:abstractNumId="12">
    <w:nsid w:val="649BB77C"/>
    <w:multiLevelType w:val="hybridMultilevel"/>
    <w:lvl w:ilvl="0">
      <w:lvlJc w:val="left"/>
      <w:lvlText w:val="(%1)"/>
      <w:numFmt w:val="lowerLetter"/>
      <w:start w:val="9"/>
    </w:lvl>
    <w:lvl w:ilvl="1">
      <w:lvlJc w:val="left"/>
      <w:lvlText w:val="%2"/>
      <w:numFmt w:val="lowerLetter"/>
      <w:start w:val="1"/>
    </w:lvl>
  </w:abstractNum>
  <w:abstractNum w:abstractNumId="13">
    <w:nsid w:val="275AC794"/>
    <w:multiLevelType w:val="hybridMultilevel"/>
    <w:lvl w:ilvl="0">
      <w:lvlJc w:val="left"/>
      <w:lvlText w:val="(%1)"/>
      <w:numFmt w:val="lowerLetter"/>
      <w:start w:val="7"/>
    </w:lvl>
  </w:abstractNum>
  <w:abstractNum w:abstractNumId="14">
    <w:nsid w:val="39386575"/>
    <w:multiLevelType w:val="hybridMultilevel"/>
    <w:lvl w:ilvl="0">
      <w:lvlJc w:val="left"/>
      <w:lvlText w:val="%1"/>
      <w:numFmt w:val="lowerLetter"/>
      <w:start w:val="1"/>
    </w:lvl>
    <w:lvl w:ilvl="1">
      <w:lvlJc w:val="left"/>
      <w:lvlText w:val="(%2)"/>
      <w:numFmt w:val="lowerLetter"/>
      <w:start w:val="11"/>
    </w:lvl>
  </w:abstractNum>
  <w:abstractNum w:abstractNumId="15">
    <w:nsid w:val="1CF10FD8"/>
    <w:multiLevelType w:val="hybridMultilevel"/>
    <w:lvl w:ilvl="0">
      <w:lvlJc w:val="left"/>
      <w:lvlText w:val="(%1)"/>
      <w:numFmt w:val="lowerLetter"/>
      <w:start w:val="9"/>
    </w:lvl>
    <w:lvl w:ilvl="1">
      <w:lvlJc w:val="left"/>
      <w:lvlText w:val="%2"/>
      <w:numFmt w:val="lowerLetter"/>
      <w:start w:val="1"/>
    </w:lvl>
  </w:abstractNum>
  <w:abstractNum w:abstractNumId="16">
    <w:nsid w:val="180115BE"/>
    <w:multiLevelType w:val="hybridMultilevel"/>
    <w:lvl w:ilvl="0">
      <w:lvlJc w:val="left"/>
      <w:lvlText w:val="(%1)"/>
      <w:numFmt w:val="lowerLetter"/>
      <w:start w:val="12"/>
    </w:lvl>
  </w:abstractNum>
  <w:abstractNum w:abstractNumId="17">
    <w:nsid w:val="235BA861"/>
    <w:multiLevelType w:val="hybridMultilevel"/>
    <w:lvl w:ilvl="0">
      <w:lvlJc w:val="left"/>
      <w:lvlText w:val="(%1)"/>
      <w:numFmt w:val="lowerLetter"/>
      <w:start w:val="14"/>
    </w:lvl>
    <w:lvl w:ilvl="1">
      <w:lvlJc w:val="left"/>
      <w:lvlText w:val="(%2)"/>
      <w:numFmt w:val="lowerRoman"/>
      <w:start w:val="1"/>
    </w:lvl>
  </w:abstractNum>
  <w:abstractNum w:abstractNumId="18">
    <w:nsid w:val="47398C89"/>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abstractNum>
  <w:abstractNum w:abstractNumId="19">
    <w:nsid w:val="354FE9F9"/>
    <w:multiLevelType w:val="hybridMultilevel"/>
    <w:lvl w:ilvl="0">
      <w:lvlJc w:val="left"/>
      <w:lvlText w:val="(%1)"/>
      <w:numFmt w:val="lowerRoman"/>
      <w:start w:val="2"/>
    </w:lvl>
  </w:abstractNum>
  <w:abstractNum w:abstractNumId="20">
    <w:nsid w:val="15B5AF5C"/>
    <w:multiLevelType w:val="hybridMultilevel"/>
    <w:lvl w:ilvl="0">
      <w:lvlJc w:val="left"/>
      <w:lvlText w:val="(%1)"/>
      <w:numFmt w:val="lowerRoman"/>
      <w:start w:val="3"/>
    </w:lvl>
  </w:abstractNum>
  <w:abstractNum w:abstractNumId="21">
    <w:nsid w:val="741226BB"/>
    <w:multiLevelType w:val="hybridMultilevel"/>
    <w:lvl w:ilvl="0">
      <w:lvlJc w:val="left"/>
      <w:lvlText w:val="(%1)"/>
      <w:numFmt w:val="lowerLetter"/>
      <w:start w:val="19"/>
    </w:lvl>
  </w:abstractNum>
  <w:abstractNum w:abstractNumId="22">
    <w:nsid w:val="D34B6A8"/>
    <w:multiLevelType w:val="hybridMultilevel"/>
    <w:lvl w:ilvl="0">
      <w:lvlJc w:val="left"/>
      <w:lvlText w:val="(%1)"/>
      <w:numFmt w:val="lowerLetter"/>
      <w:start w:val="20"/>
    </w:lvl>
    <w:lvl w:ilvl="1">
      <w:lvlJc w:val="left"/>
      <w:lvlText w:val="(%2)"/>
      <w:numFmt w:val="lowerLetter"/>
      <w:start w:val="9"/>
    </w:lvl>
  </w:abstractNum>
  <w:abstractNum w:abstractNumId="23">
    <w:nsid w:val="10233C99"/>
    <w:multiLevelType w:val="hybridMultilevel"/>
    <w:lvl w:ilvl="0">
      <w:lvlJc w:val="left"/>
      <w:lvlText w:val="%1"/>
      <w:numFmt w:val="lowerRoman"/>
      <w:start w:val="1"/>
    </w:lvl>
    <w:lvl w:ilvl="1">
      <w:lvlJc w:val="left"/>
      <w:lvlText w:val="(%2)"/>
      <w:numFmt w:val="lowerRoman"/>
      <w:start w:val="2"/>
    </w:lvl>
  </w:abstractNum>
  <w:abstractNum w:abstractNumId="24">
    <w:nsid w:val="3F6AB60F"/>
    <w:multiLevelType w:val="hybridMultilevel"/>
    <w:lvl w:ilvl="0">
      <w:lvlJc w:val="left"/>
      <w:lvlText w:val="(%1)"/>
      <w:numFmt w:val="lowerRoman"/>
      <w:start w:val="10"/>
    </w:lvl>
    <w:lvl w:ilvl="1">
      <w:lvlJc w:val="left"/>
      <w:lvlText w:val="%2"/>
      <w:numFmt w:val="lowerRoman"/>
      <w:start w:val="1"/>
    </w:lvl>
  </w:abstractNum>
  <w:abstractNum w:abstractNumId="25">
    <w:nsid w:val="61574095"/>
    <w:multiLevelType w:val="hybridMultilevel"/>
    <w:lvl w:ilvl="0">
      <w:lvlJc w:val="left"/>
      <w:lvlText w:val="(%1)"/>
      <w:numFmt w:val="lowerLetter"/>
      <w:start w:val="25"/>
    </w:lvl>
  </w:abstractNum>
  <w:abstractNum w:abstractNumId="26">
    <w:nsid w:val="7E0C57B1"/>
    <w:multiLevelType w:val="hybridMultilevel"/>
    <w:lvl w:ilvl="0">
      <w:lvlJc w:val="left"/>
      <w:lvlText w:val="(%1)"/>
      <w:numFmt w:val="lowerLetter"/>
      <w:start w:val="27"/>
    </w:lvl>
  </w:abstractNum>
  <w:abstractNum w:abstractNumId="27">
    <w:nsid w:val="77AE35EB"/>
    <w:multiLevelType w:val="hybridMultilevel"/>
    <w:lvl w:ilvl="0">
      <w:lvlJc w:val="left"/>
      <w:lvlText w:val="(%1)"/>
      <w:numFmt w:val="lowerLetter"/>
      <w:start w:val="29"/>
    </w:lvl>
  </w:abstractNum>
  <w:abstractNum w:abstractNumId="28">
    <w:nsid w:val="579BE4F1"/>
    <w:multiLevelType w:val="hybridMultilevel"/>
    <w:lvl w:ilvl="0">
      <w:lvlJc w:val="left"/>
      <w:lvlText w:val="(%1)"/>
      <w:numFmt w:val="lowerLetter"/>
      <w:start w:val="34"/>
    </w:lvl>
  </w:abstractNum>
  <w:abstractNum w:abstractNumId="29">
    <w:nsid w:val="310C50B3"/>
    <w:multiLevelType w:val="hybridMultilevel"/>
    <w:lvl w:ilvl="0">
      <w:lvlJc w:val="left"/>
      <w:lvlText w:val="(%1)"/>
      <w:numFmt w:val="lowerLetter"/>
      <w:start w:val="41"/>
    </w:lvl>
  </w:abstractNum>
  <w:abstractNum w:abstractNumId="30">
    <w:nsid w:val="5FF87E05"/>
    <w:multiLevelType w:val="hybridMultilevel"/>
    <w:lvl w:ilvl="0">
      <w:lvlJc w:val="left"/>
      <w:lvlText w:val="%1."/>
      <w:numFmt w:val="decimal"/>
      <w:start w:val="4"/>
    </w:lvl>
    <w:lvl w:ilvl="1">
      <w:lvlJc w:val="left"/>
      <w:lvlText w:val="(%2)"/>
      <w:numFmt w:val="lowerLetter"/>
      <w:start w:val="1"/>
    </w:lvl>
  </w:abstractNum>
  <w:abstractNum w:abstractNumId="31">
    <w:nsid w:val="2F305DEF"/>
    <w:multiLevelType w:val="hybridMultilevel"/>
    <w:lvl w:ilvl="0">
      <w:lvlJc w:val="left"/>
      <w:lvlText w:val="(%1)"/>
      <w:numFmt w:val="lowerLetter"/>
      <w:start w:val="5"/>
    </w:lvl>
  </w:abstractNum>
  <w:abstractNum w:abstractNumId="32">
    <w:nsid w:val="25A70BF7"/>
    <w:multiLevelType w:val="hybridMultilevel"/>
    <w:lvl w:ilvl="0">
      <w:lvlJc w:val="left"/>
      <w:lvlText w:val="(%1)"/>
      <w:numFmt w:val="lowerLetter"/>
      <w:start w:val="9"/>
    </w:lvl>
    <w:lvl w:ilvl="1">
      <w:lvlJc w:val="left"/>
      <w:lvlText w:val="(%2)"/>
      <w:numFmt w:val="lowerLetter"/>
      <w:start w:val="9"/>
    </w:lvl>
  </w:abstractNum>
  <w:abstractNum w:abstractNumId="33">
    <w:nsid w:val="1DBABF00"/>
    <w:multiLevelType w:val="hybridMultilevel"/>
    <w:lvl w:ilvl="0">
      <w:lvlJc w:val="left"/>
      <w:lvlText w:val="%1"/>
      <w:numFmt w:val="lowerLetter"/>
      <w:start w:val="1"/>
    </w:lvl>
    <w:lvl w:ilvl="1">
      <w:lvlJc w:val="left"/>
      <w:lvlText w:val="(%2)"/>
      <w:numFmt w:val="lowerRoman"/>
      <w:start w:val="2"/>
    </w:lvl>
  </w:abstractNum>
  <w:abstractNum w:abstractNumId="34">
    <w:nsid w:val="4AD084E9"/>
    <w:multiLevelType w:val="hybridMultilevel"/>
    <w:lvl w:ilvl="0">
      <w:lvlJc w:val="left"/>
      <w:lvlText w:val="(%1)"/>
      <w:numFmt w:val="lowerLetter"/>
      <w:start w:val="11"/>
    </w:lvl>
    <w:lvl w:ilvl="1">
      <w:lvlJc w:val="left"/>
      <w:lvlText w:val="%2"/>
      <w:numFmt w:val="lowerRoman"/>
      <w:start w:val="1"/>
    </w:lvl>
  </w:abstractNum>
  <w:abstractNum w:abstractNumId="35">
    <w:nsid w:val="1F48EAA1"/>
    <w:multiLevelType w:val="hybridMultilevel"/>
    <w:lvl w:ilvl="0">
      <w:lvlJc w:val="left"/>
      <w:lvlText w:val="%1"/>
      <w:numFmt w:val="upperLetter"/>
      <w:start w:val="1"/>
    </w:lvl>
    <w:lvl w:ilvl="1">
      <w:lvlJc w:val="left"/>
      <w:lvlText w:val="(%2)"/>
      <w:numFmt w:val="lowerRoman"/>
      <w:start w:val="1"/>
    </w:lvl>
  </w:abstractNum>
  <w:abstractNum w:abstractNumId="36">
    <w:nsid w:val="1381823A"/>
    <w:multiLevelType w:val="hybridMultilevel"/>
    <w:lvl w:ilvl="0">
      <w:lvlJc w:val="left"/>
      <w:lvlText w:val="(%1)"/>
      <w:numFmt w:val="upperLetter"/>
      <w:start w:val="2"/>
    </w:lvl>
    <w:lvl w:ilvl="1">
      <w:lvlJc w:val="left"/>
      <w:lvlText w:val="%2"/>
      <w:numFmt w:val="lowerRoman"/>
      <w:start w:val="1"/>
    </w:lvl>
  </w:abstractNum>
  <w:abstractNum w:abstractNumId="37">
    <w:nsid w:val="5DB70AE5"/>
    <w:multiLevelType w:val="hybridMultilevel"/>
    <w:lvl w:ilvl="0">
      <w:lvlJc w:val="left"/>
      <w:lvlText w:val="(%1)"/>
      <w:numFmt w:val="upperLetter"/>
      <w:start w:val="2"/>
    </w:lvl>
    <w:lvl w:ilvl="1">
      <w:lvlJc w:val="left"/>
      <w:lvlText w:val="%2"/>
      <w:numFmt w:val="lowerRoman"/>
      <w:start w:val="1"/>
    </w:lvl>
  </w:abstractNum>
  <w:abstractNum w:abstractNumId="38">
    <w:nsid w:val="100F8FCA"/>
    <w:multiLevelType w:val="hybridMultilevel"/>
    <w:lvl w:ilvl="0">
      <w:lvlJc w:val="left"/>
      <w:lvlText w:val="%1"/>
      <w:numFmt w:val="lowerLetter"/>
      <w:start w:val="1"/>
    </w:lvl>
    <w:lvl w:ilvl="1">
      <w:lvlJc w:val="left"/>
      <w:lvlText w:val="(%2)"/>
      <w:numFmt w:val="lowerRoman"/>
      <w:start w:val="4"/>
    </w:lvl>
  </w:abstractNum>
  <w:abstractNum w:abstractNumId="39">
    <w:nsid w:val="6590700B"/>
    <w:multiLevelType w:val="hybridMultilevel"/>
    <w:lvl w:ilvl="0">
      <w:lvlJc w:val="left"/>
      <w:lvlText w:val="(%1)"/>
      <w:numFmt w:val="lowerLetter"/>
      <w:start w:val="12"/>
    </w:lvl>
    <w:lvl w:ilvl="1">
      <w:lvlJc w:val="left"/>
      <w:lvlText w:val="%2"/>
      <w:numFmt w:val="lowerRoman"/>
      <w:start w:val="1"/>
    </w:lvl>
  </w:abstractNum>
  <w:abstractNum w:abstractNumId="40">
    <w:nsid w:val="15014ACB"/>
    <w:multiLevelType w:val="hybridMultilevel"/>
    <w:lvl w:ilvl="0">
      <w:lvlJc w:val="left"/>
      <w:lvlText w:val="%1"/>
      <w:numFmt w:val="decimal"/>
      <w:start w:val="1"/>
    </w:lvl>
    <w:lvl w:ilvl="1">
      <w:lvlJc w:val="left"/>
      <w:lvlText w:val="(%2)"/>
      <w:numFmt w:val="lowerLetter"/>
      <w:start w:val="17"/>
    </w:lvl>
  </w:abstractNum>
  <w:abstractNum w:abstractNumId="41">
    <w:nsid w:val="5F5E7FD0"/>
    <w:multiLevelType w:val="hybridMultilevel"/>
    <w:lvl w:ilvl="0">
      <w:lvlJc w:val="left"/>
      <w:lvlText w:val="%1."/>
      <w:numFmt w:val="decimal"/>
      <w:start w:val="5"/>
    </w:lvl>
    <w:lvl w:ilvl="1">
      <w:lvlJc w:val="left"/>
      <w:lvlText w:val="(%2)"/>
      <w:numFmt w:val="lowerLetter"/>
      <w:start w:val="1"/>
    </w:lvl>
  </w:abstractNum>
  <w:abstractNum w:abstractNumId="42">
    <w:nsid w:val="98A3148"/>
    <w:multiLevelType w:val="hybridMultilevel"/>
    <w:lvl w:ilvl="0">
      <w:lvlJc w:val="left"/>
      <w:lvlText w:val="(%1)"/>
      <w:numFmt w:val="lowerLetter"/>
      <w:start w:val="2"/>
    </w:lvl>
  </w:abstractNum>
  <w:abstractNum w:abstractNumId="43">
    <w:nsid w:val="799D0247"/>
    <w:multiLevelType w:val="hybridMultilevel"/>
    <w:lvl w:ilvl="0">
      <w:lvlJc w:val="left"/>
      <w:lvlText w:val="(%1)"/>
      <w:numFmt w:val="lowerLetter"/>
      <w:start w:val="4"/>
    </w:lvl>
  </w:abstractNum>
  <w:abstractNum w:abstractNumId="44">
    <w:nsid w:val="6B94764"/>
    <w:multiLevelType w:val="hybridMultilevel"/>
    <w:lvl w:ilvl="0">
      <w:lvlJc w:val="left"/>
      <w:lvlText w:val="%1"/>
      <w:numFmt w:val="lowerLetter"/>
      <w:start w:val="1"/>
    </w:lvl>
    <w:lvl w:ilvl="1">
      <w:lvlJc w:val="left"/>
      <w:lvlText w:val="(%2)"/>
      <w:numFmt w:val="lowerLetter"/>
      <w:start w:val="5"/>
    </w:lvl>
  </w:abstractNum>
  <w:abstractNum w:abstractNumId="45">
    <w:nsid w:val="42C296BD"/>
    <w:multiLevelType w:val="hybridMultilevel"/>
    <w:lvl w:ilvl="0">
      <w:lvlJc w:val="left"/>
      <w:lvlText w:val="(%1)"/>
      <w:numFmt w:val="lowerLetter"/>
      <w:start w:val="35"/>
    </w:lvl>
    <w:lvl w:ilvl="1">
      <w:lvlJc w:val="left"/>
      <w:lvlText w:val="(%2)"/>
      <w:numFmt w:val="lowerLetter"/>
      <w:start w:val="6"/>
    </w:lvl>
  </w:abstractNum>
  <w:abstractNum w:abstractNumId="46">
    <w:nsid w:val="168E121F"/>
    <w:multiLevelType w:val="hybridMultilevel"/>
    <w:lvl w:ilvl="0">
      <w:lvlJc w:val="left"/>
      <w:lvlText w:val="%1."/>
      <w:numFmt w:val="decimal"/>
      <w:start w:val="6"/>
    </w:lvl>
  </w:abstractNum>
  <w:abstractNum w:abstractNumId="47">
    <w:nsid w:val="1EBA5D23"/>
    <w:multiLevelType w:val="hybridMultilevel"/>
    <w:lvl w:ilvl="0">
      <w:lvlJc w:val="left"/>
      <w:lvlText w:val="%1"/>
      <w:numFmt w:val="decimal"/>
      <w:start w:val="1"/>
    </w:lvl>
    <w:lvl w:ilvl="1">
      <w:lvlJc w:val="left"/>
      <w:lvlText w:val="(%2)"/>
      <w:numFmt w:val="lowerLetter"/>
      <w:start w:val="1"/>
    </w:lvl>
  </w:abstractNum>
  <w:abstractNum w:abstractNumId="48">
    <w:nsid w:val="661E3F1E"/>
    <w:multiLevelType w:val="hybridMultilevel"/>
    <w:lvl w:ilvl="0">
      <w:lvlJc w:val="left"/>
      <w:lvlText w:val="%1."/>
      <w:numFmt w:val="decimal"/>
      <w:start w:val="7"/>
    </w:lvl>
    <w:lvl w:ilvl="1">
      <w:lvlJc w:val="left"/>
      <w:lvlText w:val="%2"/>
      <w:numFmt w:val="lowerLetter"/>
      <w:start w:val="1"/>
    </w:lvl>
  </w:abstractNum>
  <w:abstractNum w:abstractNumId="49">
    <w:nsid w:val="5DC79EA8"/>
    <w:multiLevelType w:val="hybridMultilevel"/>
    <w:lvl w:ilvl="0">
      <w:lvlJc w:val="left"/>
      <w:lvlText w:val="(%1)"/>
      <w:numFmt w:val="lowerLetter"/>
      <w:start w:val="1"/>
    </w:lvl>
  </w:abstractNum>
  <w:abstractNum w:abstractNumId="50">
    <w:nsid w:val="540A471C"/>
    <w:multiLevelType w:val="hybridMultilevel"/>
    <w:lvl w:ilvl="0">
      <w:lvlJc w:val="left"/>
      <w:lvlText w:val="(%1)"/>
      <w:numFmt w:val="lowerLetter"/>
      <w:start w:val="5"/>
    </w:lvl>
  </w:abstractNum>
  <w:abstractNum w:abstractNumId="51">
    <w:nsid w:val="7BD3EE7B"/>
    <w:multiLevelType w:val="hybridMultilevel"/>
    <w:lvl w:ilvl="0">
      <w:lvlJc w:val="left"/>
      <w:lvlText w:val="%1"/>
      <w:numFmt w:val="decimal"/>
      <w:start w:val="1"/>
    </w:lvl>
    <w:lvl w:ilvl="1">
      <w:lvlJc w:val="left"/>
      <w:lvlText w:val="(%2)"/>
      <w:numFmt w:val="lowerLetter"/>
      <w:start w:val="15"/>
    </w:lvl>
  </w:abstractNum>
  <w:abstractNum w:abstractNumId="52">
    <w:nsid w:val="51D9C564"/>
    <w:multiLevelType w:val="hybridMultilevel"/>
    <w:lvl w:ilvl="0">
      <w:lvlJc w:val="left"/>
      <w:lvlText w:val="%1"/>
      <w:numFmt w:val="decimal"/>
      <w:start w:val="172"/>
    </w:lvl>
    <w:lvl w:ilvl="1">
      <w:lvlJc w:val="left"/>
      <w:lvlText w:val="(%2)"/>
      <w:numFmt w:val="lowerLetter"/>
      <w:start w:val="18"/>
    </w:lvl>
  </w:abstractNum>
  <w:abstractNum w:abstractNumId="53">
    <w:nsid w:val="613EFDC5"/>
    <w:multiLevelType w:val="hybridMultilevel"/>
    <w:lvl w:ilvl="0">
      <w:lvlJc w:val="left"/>
      <w:lvlText w:val="%1."/>
      <w:numFmt w:val="decimal"/>
      <w:start w:val="8"/>
    </w:lvl>
    <w:lvl w:ilvl="1">
      <w:lvlJc w:val="left"/>
      <w:lvlText w:val="%2"/>
      <w:numFmt w:val="lowerLetter"/>
      <w:start w:val="1"/>
    </w:lvl>
  </w:abstractNum>
  <w:abstractNum w:abstractNumId="54">
    <w:nsid w:val="BF72B14"/>
    <w:multiLevelType w:val="hybridMultilevel"/>
    <w:lvl w:ilvl="0">
      <w:lvlJc w:val="left"/>
      <w:lvlText w:val="%1."/>
      <w:numFmt w:val="decimal"/>
      <w:start w:val="9"/>
    </w:lvl>
    <w:lvl w:ilvl="1">
      <w:lvlJc w:val="left"/>
      <w:lvlText w:val="(%2)"/>
      <w:numFmt w:val="lowerLetter"/>
      <w:start w:val="1"/>
    </w:lvl>
  </w:abstractNum>
  <w:abstractNum w:abstractNumId="55">
    <w:nsid w:val="11447B73"/>
    <w:multiLevelType w:val="hybridMultilevel"/>
    <w:lvl w:ilvl="0">
      <w:lvlJc w:val="left"/>
      <w:lvlText w:val="(%1)"/>
      <w:numFmt w:val="lowerLetter"/>
      <w:start w:val="2"/>
    </w:lvl>
  </w:abstractNum>
  <w:abstractNum w:abstractNumId="56">
    <w:nsid w:val="42963E5A"/>
    <w:multiLevelType w:val="hybridMultilevel"/>
    <w:lvl w:ilvl="0">
      <w:lvlJc w:val="left"/>
      <w:lvlText w:val="(%1)"/>
      <w:numFmt w:val="lowerLetter"/>
      <w:start w:val="5"/>
    </w:lvl>
  </w:abstractNum>
  <w:abstractNum w:abstractNumId="57">
    <w:nsid w:val="A0382C5"/>
    <w:multiLevelType w:val="hybridMultilevel"/>
    <w:lvl w:ilvl="0">
      <w:lvlJc w:val="left"/>
      <w:lvlText w:val="(%1)"/>
      <w:numFmt w:val="lowerLetter"/>
      <w:start w:val="7"/>
    </w:lvl>
  </w:abstractNum>
  <w:abstractNum w:abstractNumId="58">
    <w:nsid w:val="8F2B15E"/>
    <w:multiLevelType w:val="hybridMultilevel"/>
    <w:lvl w:ilvl="0">
      <w:lvlJc w:val="left"/>
      <w:lvlText w:val="(%1)"/>
      <w:numFmt w:val="lowerLetter"/>
      <w:start w:val="11"/>
    </w:lvl>
    <w:lvl w:ilvl="1">
      <w:lvlJc w:val="left"/>
      <w:lvlText w:val="(%2)"/>
      <w:numFmt w:val="lowerLetter"/>
      <w:start w:val="9"/>
    </w:lvl>
  </w:abstractNum>
  <w:abstractNum w:abstractNumId="59">
    <w:nsid w:val="1A32234B"/>
    <w:multiLevelType w:val="hybridMultilevel"/>
    <w:lvl w:ilvl="0">
      <w:lvlJc w:val="left"/>
      <w:lvlText w:val="(%1)"/>
      <w:numFmt w:val="lowerRoman"/>
      <w:start w:val="2"/>
    </w:lvl>
  </w:abstractNum>
  <w:abstractNum w:abstractNumId="60">
    <w:nsid w:val="3B0FD379"/>
    <w:multiLevelType w:val="hybridMultilevel"/>
    <w:lvl w:ilvl="0">
      <w:lvlJc w:val="left"/>
      <w:lvlText w:val="(%1)"/>
      <w:numFmt w:val="lowerLetter"/>
      <w:start w:val="12"/>
    </w:lvl>
  </w:abstractNum>
  <w:abstractNum w:abstractNumId="61">
    <w:nsid w:val="68EB2F63"/>
    <w:multiLevelType w:val="hybridMultilevel"/>
    <w:lvl w:ilvl="0">
      <w:lvlJc w:val="left"/>
      <w:lvlText w:val="(%1)"/>
      <w:numFmt w:val="lowerLetter"/>
      <w:start w:val="15"/>
    </w:lvl>
    <w:lvl w:ilvl="1">
      <w:lvlJc w:val="left"/>
      <w:lvlText w:val="(%2)"/>
      <w:numFmt w:val="lowerRoman"/>
      <w:start w:val="1"/>
    </w:lvl>
    <w:lvl w:ilvl="2">
      <w:lvlJc w:val="left"/>
      <w:lvlText w:val="(%3)"/>
      <w:numFmt w:val="decimal"/>
      <w:start w:val="1"/>
    </w:lvl>
  </w:abstractNum>
  <w:abstractNum w:abstractNumId="62">
    <w:nsid w:val="4962813B"/>
    <w:multiLevelType w:val="hybridMultilevel"/>
    <w:lvl w:ilvl="0">
      <w:lvlJc w:val="left"/>
      <w:lvlText w:val="%1."/>
      <w:numFmt w:val="decimal"/>
      <w:start w:val="1"/>
    </w:lvl>
    <w:lvl w:ilvl="1">
      <w:lvlJc w:val="left"/>
      <w:lvlText w:val="(%2)"/>
      <w:numFmt w:val="lowerLetter"/>
      <w:start w:val="1"/>
    </w:lvl>
  </w:abstractNum>
  <w:abstractNum w:abstractNumId="63">
    <w:nsid w:val="60B6DF70"/>
    <w:multiLevelType w:val="hybridMultilevel"/>
    <w:lvl w:ilvl="0">
      <w:lvlJc w:val="left"/>
      <w:lvlText w:val="(%1)"/>
      <w:numFmt w:val="lowerLetter"/>
      <w:start w:val="2"/>
    </w:lvl>
  </w:abstractNum>
  <w:abstractNum w:abstractNumId="64">
    <w:nsid w:val="6A5EE64"/>
    <w:multiLevelType w:val="hybridMultilevel"/>
    <w:lvl w:ilvl="0">
      <w:lvlJc w:val="left"/>
      <w:lvlText w:val="(%1)"/>
      <w:numFmt w:val="lowerLetter"/>
      <w:start w:val="4"/>
    </w:lvl>
  </w:abstractNum>
  <w:abstractNum w:abstractNumId="65">
    <w:nsid w:val="14330624"/>
    <w:multiLevelType w:val="hybridMultilevel"/>
    <w:lvl w:ilvl="0">
      <w:lvlJc w:val="left"/>
      <w:lvlText w:val="(%1)"/>
      <w:numFmt w:val="decimal"/>
      <w:start w:val="2"/>
    </w:lvl>
  </w:abstractNum>
  <w:abstractNum w:abstractNumId="66">
    <w:nsid w:val="7FFFCA11"/>
    <w:multiLevelType w:val="hybridMultilevel"/>
    <w:lvl w:ilvl="0">
      <w:lvlJc w:val="left"/>
      <w:lvlText w:val="(%1)"/>
      <w:numFmt w:val="lowerLetter"/>
      <w:start w:val="5"/>
    </w:lvl>
  </w:abstractNum>
  <w:abstractNum w:abstractNumId="67">
    <w:nsid w:val="1A27709E"/>
    <w:multiLevelType w:val="hybridMultilevel"/>
    <w:lvl w:ilvl="0">
      <w:lvlJc w:val="left"/>
      <w:lvlText w:val="(%1)"/>
      <w:numFmt w:val="lowerLetter"/>
      <w:start w:val="6"/>
    </w:lvl>
  </w:abstractNum>
  <w:abstractNum w:abstractNumId="68">
    <w:nsid w:val="71EA1109"/>
    <w:multiLevelType w:val="hybridMultilevel"/>
    <w:lvl w:ilvl="0">
      <w:lvlJc w:val="left"/>
      <w:lvlText w:val="(%1)"/>
      <w:numFmt w:val="lowerLetter"/>
      <w:start w:val="7"/>
    </w:lvl>
    <w:lvl w:ilvl="1">
      <w:lvlJc w:val="left"/>
      <w:lvlText w:val="(%2)"/>
      <w:numFmt w:val="lowerRoman"/>
      <w:start w:val="1"/>
    </w:lvl>
  </w:abstractNum>
  <w:abstractNum w:abstractNumId="69">
    <w:nsid w:val="100F59DC"/>
    <w:multiLevelType w:val="hybridMultilevel"/>
    <w:lvl w:ilvl="0">
      <w:lvlJc w:val="left"/>
      <w:lvlText w:val="(%1)"/>
      <w:numFmt w:val="lowerLetter"/>
      <w:start w:val="35"/>
    </w:lvl>
    <w:lvl w:ilvl="1">
      <w:lvlJc w:val="left"/>
      <w:lvlText w:val="%2"/>
      <w:numFmt w:val="lowerRoman"/>
      <w:start w:val="1"/>
    </w:lvl>
  </w:abstractNum>
  <w:abstractNum w:abstractNumId="70">
    <w:nsid w:val="7FB7E0AA"/>
    <w:multiLevelType w:val="hybridMultilevel"/>
    <w:lvl w:ilvl="0">
      <w:lvlJc w:val="left"/>
      <w:lvlText w:val="%1."/>
      <w:numFmt w:val="decimal"/>
      <w:start w:val="2"/>
    </w:lvl>
  </w:abstractNum>
  <w:abstractNum w:abstractNumId="71">
    <w:nsid w:val="6EB5BD4"/>
    <w:multiLevelType w:val="hybridMultilevel"/>
    <w:lvl w:ilvl="0">
      <w:lvlJc w:val="left"/>
      <w:lvlText w:val="(%1)"/>
      <w:numFmt w:val="lowerLetter"/>
      <w:start w:val="1"/>
    </w:lvl>
  </w:abstractNum>
  <w:abstractNum w:abstractNumId="72">
    <w:nsid w:val="6F6DD9AC"/>
    <w:multiLevelType w:val="hybridMultilevel"/>
    <w:lvl w:ilvl="0">
      <w:lvlJc w:val="left"/>
      <w:lvlText w:val="%1."/>
      <w:numFmt w:val="decimal"/>
      <w:start w:val="3"/>
    </w:lvl>
    <w:lvl w:ilvl="1">
      <w:lvlJc w:val="left"/>
      <w:lvlText w:val="(%2)"/>
      <w:numFmt w:val="lowerLetter"/>
      <w:start w:val="1"/>
    </w:lvl>
  </w:abstractNum>
  <w:abstractNum w:abstractNumId="73">
    <w:nsid w:val="94211F2"/>
    <w:multiLevelType w:val="hybridMultilevel"/>
    <w:lvl w:ilvl="0">
      <w:lvlJc w:val="left"/>
      <w:lvlText w:val="(%1)"/>
      <w:numFmt w:val="lowerLetter"/>
      <w:start w:val="2"/>
    </w:lvl>
  </w:abstractNum>
  <w:abstractNum w:abstractNumId="74">
    <w:nsid w:val="885E1B"/>
    <w:multiLevelType w:val="hybridMultilevel"/>
    <w:lvl w:ilvl="0">
      <w:lvlJc w:val="left"/>
      <w:lvlText w:val="%1"/>
      <w:numFmt w:val="decimal"/>
      <w:start w:val="1"/>
    </w:lvl>
    <w:lvl w:ilvl="1">
      <w:lvlJc w:val="left"/>
      <w:lvlText w:val="(%2)"/>
      <w:numFmt w:val="lowerLetter"/>
      <w:start w:val="3"/>
    </w:lvl>
  </w:abstractNum>
  <w:abstractNum w:abstractNumId="75">
    <w:nsid w:val="76272110"/>
    <w:multiLevelType w:val="hybridMultilevel"/>
    <w:lvl w:ilvl="0">
      <w:lvlJc w:val="left"/>
      <w:lvlText w:val="%1."/>
      <w:numFmt w:val="decimal"/>
      <w:start w:val="5"/>
    </w:lvl>
    <w:lvl w:ilvl="1">
      <w:lvlJc w:val="left"/>
      <w:lvlText w:val="%2"/>
      <w:numFmt w:val="lowerLetter"/>
      <w:start w:val="1"/>
    </w:lvl>
  </w:abstractNum>
  <w:abstractNum w:abstractNumId="76">
    <w:nsid w:val="4C04A8AF"/>
    <w:multiLevelType w:val="hybridMultilevel"/>
    <w:lvl w:ilvl="0">
      <w:lvlJc w:val="left"/>
      <w:lvlText w:val="%1."/>
      <w:numFmt w:val="decimal"/>
      <w:start w:val="6"/>
    </w:lvl>
  </w:abstractNum>
  <w:abstractNum w:abstractNumId="77">
    <w:nsid w:val="1716703B"/>
    <w:multiLevelType w:val="hybridMultilevel"/>
    <w:lvl w:ilvl="0">
      <w:lvlJc w:val="left"/>
      <w:lvlText w:val="%1."/>
      <w:numFmt w:val="decimal"/>
      <w:start w:val="7"/>
    </w:lvl>
    <w:lvl w:ilvl="1">
      <w:lvlJc w:val="left"/>
      <w:lvlText w:val="(%2)"/>
      <w:numFmt w:val="lowerLetter"/>
      <w:start w:val="1"/>
    </w:lvl>
  </w:abstractNum>
  <w:abstractNum w:abstractNumId="78">
    <w:nsid w:val="14E17E33"/>
    <w:multiLevelType w:val="hybridMultilevel"/>
    <w:lvl w:ilvl="0">
      <w:lvlJc w:val="left"/>
      <w:lvlText w:val="%1"/>
      <w:numFmt w:val="decimal"/>
      <w:start w:val="1"/>
    </w:lvl>
    <w:lvl w:ilvl="1">
      <w:lvlJc w:val="left"/>
      <w:lvlText w:val="(%2)"/>
      <w:numFmt w:val="lowerLetter"/>
      <w:start w:val="2"/>
    </w:lvl>
  </w:abstractNum>
  <w:abstractNum w:abstractNumId="79">
    <w:nsid w:val="3222E7CD"/>
    <w:multiLevelType w:val="hybridMultilevel"/>
    <w:lvl w:ilvl="0">
      <w:lvlJc w:val="left"/>
      <w:lvlText w:val="%1."/>
      <w:numFmt w:val="decimal"/>
      <w:start w:val="8"/>
    </w:lvl>
    <w:lvl w:ilvl="1">
      <w:lvlJc w:val="left"/>
      <w:lvlText w:val="%2"/>
      <w:numFmt w:val="lowerLetter"/>
      <w:start w:val="1"/>
    </w:lvl>
  </w:abstractNum>
  <w:abstractNum w:abstractNumId="80">
    <w:nsid w:val="74DE0EE3"/>
    <w:multiLevelType w:val="hybridMultilevel"/>
    <w:lvl w:ilvl="0">
      <w:lvlJc w:val="left"/>
      <w:lvlText w:val="(%1)"/>
      <w:numFmt w:val="decimal"/>
      <w:start w:val="10"/>
    </w:lvl>
  </w:abstractNum>
  <w:abstractNum w:abstractNumId="81">
    <w:nsid w:val="68EBC550"/>
    <w:multiLevelType w:val="hybridMultilevel"/>
    <w:lvl w:ilvl="0">
      <w:lvlJc w:val="left"/>
      <w:lvlText w:val="%1."/>
      <w:numFmt w:val="decimal"/>
      <w:start w:val="9"/>
    </w:lvl>
  </w:abstractNum>
  <w:abstractNum w:abstractNumId="82">
    <w:nsid w:val="2DF6D648"/>
    <w:multiLevelType w:val="hybridMultilevel"/>
    <w:lvl w:ilvl="0">
      <w:lvlJc w:val="left"/>
      <w:lvlText w:val="%1."/>
      <w:numFmt w:val="decimal"/>
      <w:start w:val="10"/>
    </w:lvl>
  </w:abstractNum>
  <w:abstractNum w:abstractNumId="83">
    <w:nsid w:val="46B7D447"/>
    <w:multiLevelType w:val="hybridMultilevel"/>
    <w:lvl w:ilvl="0">
      <w:lvlJc w:val="left"/>
      <w:lvlText w:val="%1."/>
      <w:numFmt w:val="decimal"/>
      <w:start w:val="11"/>
    </w:lvl>
  </w:abstractNum>
  <w:abstractNum w:abstractNumId="84">
    <w:nsid w:val="4A2AC315"/>
    <w:multiLevelType w:val="hybridMultilevel"/>
    <w:lvl w:ilvl="0">
      <w:lvlJc w:val="left"/>
      <w:lvlText w:val="%1."/>
      <w:numFmt w:val="decimal"/>
      <w:start w:val="12"/>
    </w:lvl>
  </w:abstractNum>
  <w:abstractNum w:abstractNumId="85">
    <w:nsid w:val="39EE015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86">
    <w:nsid w:val="57FC4FBB"/>
    <w:multiLevelType w:val="hybridMultilevel"/>
    <w:lvl w:ilvl="0">
      <w:lvlJc w:val="left"/>
      <w:lvlText w:val="%1"/>
      <w:numFmt w:val="upperLetter"/>
      <w:start w:val="1"/>
    </w:lvl>
    <w:lvl w:ilvl="1">
      <w:lvlJc w:val="left"/>
      <w:lvlText w:val="(%2)"/>
      <w:numFmt w:val="lowerLetter"/>
      <w:start w:val="2"/>
    </w:lvl>
  </w:abstractNum>
  <w:abstractNum w:abstractNumId="87">
    <w:nsid w:val="CC1016F"/>
    <w:multiLevelType w:val="hybridMultilevel"/>
    <w:lvl w:ilvl="0">
      <w:lvlJc w:val="left"/>
      <w:lvlText w:val="(%1)"/>
      <w:numFmt w:val="upperLetter"/>
      <w:start w:val="3"/>
    </w:lvl>
    <w:lvl w:ilvl="1">
      <w:lvlJc w:val="left"/>
      <w:lvlText w:val="%2"/>
      <w:numFmt w:val="lowerLetter"/>
      <w:start w:val="1"/>
    </w:lvl>
  </w:abstractNum>
  <w:abstractNum w:abstractNumId="88">
    <w:nsid w:val="43F18422"/>
    <w:multiLevelType w:val="hybridMultilevel"/>
    <w:lvl w:ilvl="0">
      <w:lvlJc w:val="left"/>
      <w:lvlText w:val="%1."/>
      <w:numFmt w:val="decimal"/>
      <w:start w:val="14"/>
    </w:lvl>
  </w:abstractNum>
  <w:abstractNum w:abstractNumId="89">
    <w:nsid w:val="60EF0119"/>
    <w:multiLevelType w:val="hybridMultilevel"/>
    <w:lvl w:ilvl="0">
      <w:lvlJc w:val="left"/>
      <w:lvlText w:val="%1."/>
      <w:numFmt w:val="decimal"/>
      <w:start w:val="15"/>
    </w:lvl>
  </w:abstractNum>
  <w:abstractNum w:abstractNumId="90">
    <w:nsid w:val="26F324BA"/>
    <w:multiLevelType w:val="hybridMultilevel"/>
    <w:lvl w:ilvl="0">
      <w:lvlJc w:val="left"/>
      <w:lvlText w:val="%1."/>
      <w:numFmt w:val="decimal"/>
      <w:start w:val="17"/>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lowerLetter"/>
      <w:start w:val="6"/>
    </w:lvl>
  </w:abstractNum>
  <w:abstractNum w:abstractNumId="93">
    <w:nsid w:val="7055A5F5"/>
    <w:multiLevelType w:val="hybridMultilevel"/>
    <w:lvl w:ilvl="0">
      <w:lvlJc w:val="left"/>
      <w:lvlText w:val="(%1)"/>
      <w:numFmt w:val="lowerLetter"/>
      <w:start w:val="13"/>
    </w:lvl>
  </w:abstractNum>
  <w:abstractNum w:abstractNumId="94">
    <w:nsid w:val="5FB8370B"/>
    <w:multiLevelType w:val="hybridMultilevel"/>
    <w:lvl w:ilvl="0">
      <w:lvlJc w:val="left"/>
      <w:lvlText w:val="(%1)"/>
      <w:numFmt w:val="lowerLetter"/>
      <w:start w:val="15"/>
    </w:lvl>
  </w:abstractNum>
  <w:abstractNum w:abstractNumId="95">
    <w:nsid w:val="50801EE1"/>
    <w:multiLevelType w:val="hybridMultilevel"/>
    <w:lvl w:ilvl="0">
      <w:lvlJc w:val="left"/>
      <w:lvlText w:val="%1."/>
      <w:numFmt w:val="decimal"/>
      <w:start w:val="1"/>
    </w:lvl>
    <w:lvl w:ilvl="1">
      <w:lvlJc w:val="left"/>
      <w:lvlText w:val="☐"/>
      <w:numFmt w:val="bullet"/>
      <w:start w:val="1"/>
    </w:lvl>
  </w:abstractNum>
  <w:abstractNum w:abstractNumId="96">
    <w:nsid w:val="488AC1A"/>
    <w:multiLevelType w:val="hybridMultilevel"/>
    <w:lvl w:ilvl="0">
      <w:lvlJc w:val="left"/>
      <w:lvlText w:val="%1."/>
      <w:numFmt w:val="decimal"/>
      <w:start w:val="2"/>
    </w:lvl>
    <w:lvl w:ilvl="1">
      <w:lvlJc w:val="left"/>
      <w:lvlText w:val="☐"/>
      <w:numFmt w:val="bullet"/>
      <w:start w:val="1"/>
    </w:lvl>
  </w:abstractNum>
  <w:abstractNum w:abstractNumId="97">
    <w:nsid w:val="5FB8011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2020-01-27T07:25:57Z</dcterms:created>
  <dcterms:modified xsi:type="dcterms:W3CDTF">2020-01-27T07:25:57Z</dcterms:modified>
</cp:coreProperties>
</file>