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3, 2018</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31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Regulation FD Disclosure</w:t>
      </w:r>
    </w:p>
    <w:p>
      <w:pPr>
        <w:spacing w:after="0" w:line="211" w:lineRule="exact"/>
        <w:rPr>
          <w:sz w:val="20"/>
          <w:szCs w:val="20"/>
          <w:color w:val="auto"/>
        </w:rPr>
      </w:pPr>
    </w:p>
    <w:p>
      <w:pPr>
        <w:sectPr>
          <w:pgSz w:w="11900" w:h="16838" w:orient="portrait"/>
          <w:cols w:equalWidth="0" w:num="2">
            <w:col w:w="740" w:space="720"/>
            <w:col w:w="9960"/>
          </w:cols>
          <w:pgMar w:left="240" w:top="557" w:right="239" w:bottom="1440" w:gutter="0" w:footer="0" w:header="0"/>
        </w:sectPr>
      </w:pPr>
    </w:p>
    <w:p>
      <w:pPr>
        <w:spacing w:after="0" w:line="5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See Item 8.01 below.</w:t>
      </w:r>
    </w:p>
    <w:p>
      <w:pPr>
        <w:sectPr>
          <w:pgSz w:w="11900" w:h="16838" w:orient="portrait"/>
          <w:cols w:equalWidth="0" w:num="1">
            <w:col w:w="11420"/>
          </w:cols>
          <w:pgMar w:left="240" w:top="557" w:right="2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Events.</w:t>
      </w:r>
    </w:p>
    <w:p>
      <w:pPr>
        <w:spacing w:after="0" w:line="200" w:lineRule="exact"/>
        <w:rPr>
          <w:sz w:val="20"/>
          <w:szCs w:val="20"/>
          <w:color w:val="auto"/>
        </w:rPr>
      </w:pPr>
    </w:p>
    <w:p>
      <w:pPr>
        <w:sectPr>
          <w:pgSz w:w="11900" w:h="16838" w:orient="portrait"/>
          <w:cols w:equalWidth="0" w:num="2">
            <w:col w:w="740" w:space="720"/>
            <w:col w:w="9960"/>
          </w:cols>
          <w:pgMar w:left="240" w:top="557" w:right="239" w:bottom="1440" w:gutter="0" w:footer="0" w:header="0"/>
          <w:type w:val="continuous"/>
        </w:sectPr>
      </w:pPr>
    </w:p>
    <w:p>
      <w:pPr>
        <w:spacing w:after="0" w:line="5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January 3, 2018,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announcing that the U.S. Food and Drug Administration has granted Fast Track Designation to AV-101, the Company’s lead central nervous system product candidate for development as a potential adjunctive treatment for Major Depressive Disorder. A copy of the press release is attached to this Current Report on Form 8-K as Exhibit 99.1, and is incorporated herein by reference.</w:t>
      </w:r>
    </w:p>
    <w:p>
      <w:pPr>
        <w:spacing w:after="0" w:line="16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On January 8, 2018, the Company began utilizing a new corporate presentation (the “</w:t>
      </w:r>
      <w:r>
        <w:rPr>
          <w:rFonts w:ascii="Arial" w:cs="Arial" w:eastAsia="Arial" w:hAnsi="Arial"/>
          <w:sz w:val="18"/>
          <w:szCs w:val="18"/>
          <w:i w:val="1"/>
          <w:iCs w:val="1"/>
          <w:color w:val="auto"/>
        </w:rPr>
        <w:t>Corporate Presentation</w:t>
      </w:r>
      <w:r>
        <w:rPr>
          <w:rFonts w:ascii="Arial" w:cs="Arial" w:eastAsia="Arial" w:hAnsi="Arial"/>
          <w:sz w:val="18"/>
          <w:szCs w:val="18"/>
          <w:color w:val="auto"/>
        </w:rPr>
        <w:t>”). A copy of the Corporate Presentation is attached as Exhibit 99.2 to this Current Report on Form 8-K, and is incorporated by reference herein.</w:t>
      </w:r>
    </w:p>
    <w:p>
      <w:pPr>
        <w:spacing w:after="0" w:line="115"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In addition, the Company will be presenting at the 10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Annual Biotech Showcase Conference in San Francisco, California on Monday, January 8, 2018 at 4:00 P.M. Pacific Time.</w:t>
      </w:r>
    </w:p>
    <w:p>
      <w:pPr>
        <w:spacing w:after="0" w:line="21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information in this Current Report on Form 8-K, including the information set forth in Exhibit 99.2, is being furnished and shall not be deemed “filed” for purposes of Section 18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nor shall it be deemed incorporated by reference in any filing under the Securities Act of 1933, as amended, or the Exchange Act, except as shall be expressly set forth by specific reference in such a filing.</w:t>
      </w:r>
    </w:p>
    <w:p>
      <w:pPr>
        <w:spacing w:after="0" w:line="15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2" w:name="page3"/>
    <w:bookmarkEnd w:id="2"/>
    <w:p>
      <w:pPr>
        <w:ind w:left="54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January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January 3,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2</w:t>
              </w:r>
            </w:hyperlink>
          </w:p>
        </w:tc>
        <w:tc>
          <w:tcPr>
            <w:tcW w:w="940" w:type="dxa"/>
            <w:vAlign w:val="bottom"/>
            <w:tcBorders>
              <w:top w:val="single" w:sz="8" w:color="CCEEFF"/>
            </w:tcBorders>
          </w:tcPr>
          <w:p>
            <w:pPr>
              <w:spacing w:after="0"/>
              <w:rPr>
                <w:sz w:val="15"/>
                <w:szCs w:val="15"/>
                <w:color w:val="auto"/>
              </w:rPr>
            </w:pPr>
          </w:p>
        </w:tc>
        <w:tc>
          <w:tcPr>
            <w:tcW w:w="10160" w:type="dxa"/>
            <w:vAlign w:val="bottom"/>
            <w:tcBorders>
              <w:top w:val="single" w:sz="8" w:color="CCEEFF"/>
            </w:tcBorders>
            <w:gridSpan w:val="2"/>
          </w:tcPr>
          <w:p>
            <w:pPr>
              <w:ind w:left="240"/>
              <w:spacing w:after="0" w:line="176" w:lineRule="exact"/>
              <w:rPr>
                <w:sz w:val="20"/>
                <w:szCs w:val="20"/>
                <w:color w:val="auto"/>
              </w:rPr>
            </w:pPr>
            <w:r>
              <w:rPr>
                <w:rFonts w:ascii="Arial" w:cs="Arial" w:eastAsia="Arial" w:hAnsi="Arial"/>
                <w:sz w:val="18"/>
                <w:szCs w:val="18"/>
                <w:color w:val="auto"/>
              </w:rPr>
              <w:t>Corporate Presentation, dated January 2018</w:t>
            </w:r>
          </w:p>
        </w:tc>
        <w:tc>
          <w:tcPr>
            <w:tcW w:w="0" w:type="dxa"/>
            <w:vAlign w:val="bottom"/>
          </w:tcPr>
          <w:p>
            <w:pPr>
              <w:spacing w:after="0"/>
              <w:rPr>
                <w:sz w:val="1"/>
                <w:szCs w:val="1"/>
                <w:color w:val="auto"/>
              </w:rPr>
            </w:pPr>
          </w:p>
        </w:tc>
      </w:tr>
      <w:tr>
        <w:trPr>
          <w:trHeight w:val="676"/>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VistaGen Therapeutics Receives FDA Fast Track Designation for AV-101 for the Treatment of Major Depressive Disorder</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South San Francisco, CA (January 3,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depression and other central nervous system (CNS) disorders, announced today that the U.S. Food and Drug Administration (FDA) has granted Fast Track Designation to AV-101 for development as a potential adjunctive treatment for Major Depressive Disorder (MDD). The FDA’s Fast Track process is designed to facilitate the development and review of new treatments for serious conditions with unmet medical need such as MDD.</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“Fast Track Designation is another important regulatory milestone for our AV-101 program for MDD, providing us the opportunity for frequent interactions with the FDA focused on the most appropriate and efficient development pathway to bring AV-101 to MDD patients,” said Shawn Singh, Chief Executive Officer of VistaGen. “We are on track to dose the first patient in our AV-101 Phase 2 MDD adjunctive treatment study in the first quarter of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Fast Track Designation</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Fast Track is a process designed by the FDA to facilitate the development, and expedite the review, of drugs to treat serious conditions and fill an unmet medical need. Drugs that receive Fast Track Designation may be eligible to be the subject of more frequent communications and meetings with FDA to review the drug's development plan including the design of the proposed clinical trials, use of biomarkers and the extent of data needed for approval. Drugs with Fast Track Designation may also qualify for priority review to expedite the FDA review process, if relevant criteria are met. The purpose is to get important new drugs to the patient earlier. Fast Track addresses a broad range of serious conditions. For more information about Fast Track, please visit: </w:t>
      </w:r>
      <w:r>
        <w:rPr>
          <w:rFonts w:ascii="Arial" w:cs="Arial" w:eastAsia="Arial" w:hAnsi="Arial"/>
          <w:sz w:val="18"/>
          <w:szCs w:val="18"/>
          <w:u w:val="single" w:color="auto"/>
          <w:color w:val="auto"/>
        </w:rPr>
        <w:t>https://www.fda.gov/ForPatients/Approvals/Fast/ucm405399.htm</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w:t>
      </w:r>
    </w:p>
    <w:p>
      <w:pPr>
        <w:spacing w:after="0" w:line="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Major Depressive Disorder (MDD) is a common but serious mood disorder in which individuals exhibit depressive symptoms, such as a depressed mood or a loss of interest or pleasure in daily activities consistently for at least a two-week period, and demonstrate impaired social, occupational, educational or other important functioning. Over 300 million people worldwide suffer from depression.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While antidepressants are widely used for treatment, large scale studies have suggested the U.S. drug-treated MDD market is substantially underserved.</w:t>
      </w:r>
      <w:r>
        <w:rPr>
          <w:rFonts w:ascii="Arial" w:cs="Arial" w:eastAsia="Arial" w:hAnsi="Arial"/>
          <w:sz w:val="24"/>
          <w:szCs w:val="24"/>
          <w:color w:val="auto"/>
          <w:vertAlign w:val="superscript"/>
        </w:rPr>
        <w:t>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Major Depressive Disorder (MDD). AV-101's </w:t>
      </w:r>
      <w:r>
        <w:rPr>
          <w:rFonts w:ascii="Arial" w:cs="Arial" w:eastAsia="Arial" w:hAnsi="Arial"/>
          <w:sz w:val="16"/>
          <w:szCs w:val="16"/>
          <w:u w:val="single" w:color="auto"/>
          <w:color w:val="auto"/>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is the Principal Investigator of the VistaGen’s AV-101 MDD Phase 2 adjunctive treatment study. AV-101 may also have the potential to treat multiple CNS disorders and neurodegenerative diseases in addition to MDD, including neuropathic pain, epilepsy, Huntington’s disease, Parkinson’s disease levodopa-induced dyskinesia (PD LID) and other CNS diseases and disorders where modulation of the NMDA receptors, activation of AMPA pathways and/or key active metabolites of AV-101 may achieve therapeutic benefit.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(MDD monotherapy) and/or the Company’s planned Phase 2 (MDD adjunctive treatment) clinical studies of AV-101, allowance of patent applications and continued protection of its intellectual property, and the availability of substantial additional capital to support its operations, including the AV-101 Phase 2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VistaGen undertakes no obligation to publicly update or revise any forward-looking statements.</w:t>
      </w:r>
    </w:p>
    <w:p>
      <w:pPr>
        <w:spacing w:after="0" w:line="98"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 xml:space="preserve">World Health Organization, 2017; Available at </w:t>
      </w:r>
      <w:r>
        <w:rPr>
          <w:rFonts w:ascii="Arial" w:cs="Arial" w:eastAsia="Arial" w:hAnsi="Arial"/>
          <w:sz w:val="18"/>
          <w:szCs w:val="18"/>
          <w:u w:val="single" w:color="auto"/>
          <w:color w:val="0563C1"/>
        </w:rPr>
        <w:t>http://www.who.int/mediacentre/factsheets/fs369/en/</w:t>
      </w:r>
    </w:p>
    <w:p>
      <w:pPr>
        <w:spacing w:after="0" w:line="14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Rush AJ, et al. Am J. Psychiatry. 2006, 163(11): 1905-1917 (STAR*D Study),</w:t>
      </w:r>
    </w:p>
    <w:p>
      <w:pPr>
        <w:spacing w:after="0" w:line="14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Decision Resources 2016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ind w:left="93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9956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0" w:num="1">
            <w:col w:w="10220"/>
          </w:cols>
          <w:pgMar w:left="1440" w:top="287"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249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2020-01-14T01:36:15Z</dcterms:created>
  <dcterms:modified xsi:type="dcterms:W3CDTF">2020-01-14T01:36:15Z</dcterms:modified>
</cp:coreProperties>
</file>