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693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9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Mark Alan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15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06/19/2026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Person's ability to exercise 30,000 of the options reported herein is conditioned upon stockholder approval of an amendment to the Issuer's 2008 Stock Incentive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4"/>
        <w:spacing w:after="0" w:line="25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shall vest on the one year anniversary of the Grant Date and 1/48th of the shares subject to the option shall vest monthly every month thereafter until all awarded shares are fully vested.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73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-19050</wp:posOffset>
            </wp:positionV>
            <wp:extent cx="306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-85725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452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2020-01-19T08:20:52Z</dcterms:created>
  <dcterms:modified xsi:type="dcterms:W3CDTF">2020-01-19T08:20:52Z</dcterms:modified>
</cp:coreProperties>
</file>