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300" w:hanging="995"/>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300" w:hanging="95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2960" w:type="dxa"/>
            <w:vAlign w:val="bottom"/>
          </w:tcPr>
          <w:p>
            <w:pPr>
              <w:jc w:val="right"/>
              <w:ind w:right="2790"/>
              <w:spacing w:after="0"/>
              <w:rPr>
                <w:sz w:val="20"/>
                <w:szCs w:val="20"/>
                <w:color w:val="auto"/>
              </w:rPr>
            </w:pPr>
            <w:r>
              <w:rPr>
                <w:rFonts w:ascii="Arial" w:cs="Arial" w:eastAsia="Arial" w:hAnsi="Arial"/>
                <w:sz w:val="18"/>
                <w:szCs w:val="18"/>
                <w:b w:val="1"/>
                <w:bCs w:val="1"/>
                <w:color w:val="auto"/>
              </w:rPr>
              <w:t>.</w:t>
            </w:r>
          </w:p>
        </w:tc>
      </w:tr>
      <w:tr>
        <w:trPr>
          <w:trHeight w:val="453"/>
        </w:trPr>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4"/>
          </w:tcPr>
          <w:p>
            <w:pPr>
              <w:jc w:val="center"/>
              <w:ind w:right="1170"/>
              <w:spacing w:after="0"/>
              <w:rPr>
                <w:sz w:val="20"/>
                <w:szCs w:val="20"/>
                <w:color w:val="auto"/>
              </w:rPr>
            </w:pPr>
            <w:r>
              <w:rPr>
                <w:rFonts w:ascii="Arial" w:cs="Arial" w:eastAsia="Arial" w:hAnsi="Arial"/>
                <w:sz w:val="18"/>
                <w:szCs w:val="18"/>
                <w:b w:val="1"/>
                <w:bCs w:val="1"/>
                <w:color w:val="auto"/>
                <w:w w:val="91"/>
              </w:rPr>
              <w:t>Commission File Number: 000-54014</w:t>
            </w:r>
          </w:p>
        </w:tc>
      </w:tr>
      <w:tr>
        <w:trPr>
          <w:trHeight w:val="566"/>
        </w:trPr>
        <w:tc>
          <w:tcPr>
            <w:tcW w:w="7380" w:type="dxa"/>
            <w:vAlign w:val="bottom"/>
            <w:gridSpan w:val="6"/>
          </w:tcPr>
          <w:p>
            <w:pPr>
              <w:jc w:val="center"/>
              <w:ind w:left="1036"/>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30"/>
        </w:trPr>
        <w:tc>
          <w:tcPr>
            <w:tcW w:w="2360" w:type="dxa"/>
            <w:vAlign w:val="bottom"/>
          </w:tcPr>
          <w:p>
            <w:pPr>
              <w:spacing w:after="0"/>
              <w:rPr>
                <w:sz w:val="20"/>
                <w:szCs w:val="20"/>
                <w:color w:val="auto"/>
              </w:rPr>
            </w:pPr>
          </w:p>
        </w:tc>
        <w:tc>
          <w:tcPr>
            <w:tcW w:w="5020" w:type="dxa"/>
            <w:vAlign w:val="bottom"/>
            <w:gridSpan w:val="5"/>
          </w:tcPr>
          <w:p>
            <w:pPr>
              <w:jc w:val="center"/>
              <w:ind w:right="113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418"/>
        </w:trPr>
        <w:tc>
          <w:tcPr>
            <w:tcW w:w="2360" w:type="dxa"/>
            <w:vAlign w:val="bottom"/>
          </w:tcPr>
          <w:p>
            <w:pPr>
              <w:jc w:val="center"/>
              <w:ind w:left="1116"/>
              <w:spacing w:after="0"/>
              <w:rPr>
                <w:sz w:val="20"/>
                <w:szCs w:val="20"/>
                <w:color w:val="auto"/>
              </w:rPr>
            </w:pPr>
            <w:r>
              <w:rPr>
                <w:rFonts w:ascii="Arial" w:cs="Arial" w:eastAsia="Arial" w:hAnsi="Arial"/>
                <w:sz w:val="18"/>
                <w:szCs w:val="18"/>
                <w:b w:val="1"/>
                <w:bCs w:val="1"/>
                <w:color w:val="auto"/>
                <w:w w:val="90"/>
              </w:rPr>
              <w:t>Nevada</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1"/>
              </w:rPr>
              <w:t>20-5093315</w:t>
            </w:r>
          </w:p>
        </w:tc>
      </w:tr>
      <w:tr>
        <w:trPr>
          <w:trHeight w:val="216"/>
        </w:trPr>
        <w:tc>
          <w:tcPr>
            <w:tcW w:w="3520" w:type="dxa"/>
            <w:vAlign w:val="bottom"/>
            <w:gridSpan w:val="4"/>
          </w:tcPr>
          <w:p>
            <w:pPr>
              <w:jc w:val="center"/>
              <w:spacing w:after="0"/>
              <w:rPr>
                <w:sz w:val="20"/>
                <w:szCs w:val="20"/>
                <w:color w:val="auto"/>
              </w:rPr>
            </w:pPr>
            <w:r>
              <w:rPr>
                <w:rFonts w:ascii="Arial" w:cs="Arial" w:eastAsia="Arial" w:hAnsi="Arial"/>
                <w:sz w:val="18"/>
                <w:szCs w:val="18"/>
                <w:i w:val="1"/>
                <w:iCs w:val="1"/>
                <w:color w:val="auto"/>
                <w:w w:val="94"/>
              </w:rPr>
              <w:t>(State or other jurisdiction of</w:t>
            </w:r>
          </w:p>
        </w:tc>
        <w:tc>
          <w:tcPr>
            <w:tcW w:w="900" w:type="dxa"/>
            <w:vAlign w:val="bottom"/>
          </w:tcPr>
          <w:p>
            <w:pPr>
              <w:spacing w:after="0"/>
              <w:rPr>
                <w:sz w:val="18"/>
                <w:szCs w:val="18"/>
                <w:color w:val="auto"/>
              </w:rPr>
            </w:pPr>
          </w:p>
        </w:tc>
        <w:tc>
          <w:tcPr>
            <w:tcW w:w="2960" w:type="dxa"/>
            <w:vAlign w:val="bottom"/>
          </w:tcPr>
          <w:p>
            <w:pPr>
              <w:jc w:val="center"/>
              <w:ind w:left="15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520" w:type="dxa"/>
            <w:vAlign w:val="bottom"/>
            <w:gridSpan w:val="4"/>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900" w:type="dxa"/>
            <w:vAlign w:val="bottom"/>
          </w:tcPr>
          <w:p>
            <w:pPr>
              <w:spacing w:after="0"/>
              <w:rPr>
                <w:sz w:val="20"/>
                <w:szCs w:val="20"/>
                <w:color w:val="auto"/>
              </w:rPr>
            </w:pPr>
          </w:p>
        </w:tc>
        <w:tc>
          <w:tcPr>
            <w:tcW w:w="2960" w:type="dxa"/>
            <w:vAlign w:val="bottom"/>
          </w:tcPr>
          <w:p>
            <w:pPr>
              <w:jc w:val="center"/>
              <w:ind w:left="155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1"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620" w:space="720"/>
            <w:col w:w="2900" w:space="720"/>
            <w:col w:w="2680" w:space="720"/>
            <w:col w:w="1060"/>
          </w:cols>
          <w:pgMar w:left="240" w:top="30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301" w:right="2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As of August 11, 2016, 7,970,705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400" w:type="dxa"/>
            <w:vAlign w:val="bottom"/>
            <w:gridSpan w:val="18"/>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4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1"/>
              </w:rPr>
              <w:t>VistaGen Therapeutics, Inc.</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40" w:type="dxa"/>
            <w:vAlign w:val="bottom"/>
            <w:gridSpan w:val="7"/>
          </w:tcPr>
          <w:p>
            <w:pPr>
              <w:jc w:val="center"/>
              <w:ind w:right="3440"/>
              <w:spacing w:after="0"/>
              <w:rPr>
                <w:sz w:val="20"/>
                <w:szCs w:val="20"/>
                <w:color w:val="auto"/>
              </w:rPr>
            </w:pPr>
            <w:r>
              <w:rPr>
                <w:rFonts w:ascii="Arial" w:cs="Arial" w:eastAsia="Arial" w:hAnsi="Arial"/>
                <w:sz w:val="18"/>
                <w:szCs w:val="18"/>
                <w:b w:val="1"/>
                <w:bCs w:val="1"/>
                <w:color w:val="auto"/>
                <w:w w:val="94"/>
              </w:rPr>
              <w:t>Quarterly Report on Form 10-Q</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40" w:type="dxa"/>
            <w:vAlign w:val="bottom"/>
            <w:gridSpan w:val="8"/>
          </w:tcPr>
          <w:p>
            <w:pPr>
              <w:jc w:val="center"/>
              <w:ind w:right="2540"/>
              <w:spacing w:after="0"/>
              <w:rPr>
                <w:sz w:val="20"/>
                <w:szCs w:val="20"/>
                <w:color w:val="auto"/>
              </w:rPr>
            </w:pPr>
            <w:r>
              <w:rPr>
                <w:rFonts w:ascii="Arial" w:cs="Arial" w:eastAsia="Arial" w:hAnsi="Arial"/>
                <w:sz w:val="18"/>
                <w:szCs w:val="18"/>
                <w:b w:val="1"/>
                <w:bCs w:val="1"/>
                <w:color w:val="auto"/>
                <w:w w:val="91"/>
              </w:rPr>
              <w:t>for the Quarter Ended June 30, 2016</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4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4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04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2016 and March 31, 2016</w:t>
              </w:r>
            </w:hyperlink>
          </w:p>
        </w:tc>
        <w:tc>
          <w:tcPr>
            <w:tcW w:w="4540" w:type="dxa"/>
            <w:vAlign w:val="bottom"/>
            <w:tcBorders>
              <w:bottom w:val="single" w:sz="8" w:color="CCEEFF"/>
            </w:tcBorders>
            <w:gridSpan w:val="4"/>
            <w:shd w:val="clear" w:color="auto" w:fill="CCEEFF"/>
          </w:tcPr>
          <w:p>
            <w:pPr>
              <w:spacing w:after="0"/>
              <w:rPr>
                <w:sz w:val="17"/>
                <w:szCs w:val="17"/>
                <w:color w:val="auto"/>
              </w:rPr>
            </w:pPr>
          </w:p>
        </w:tc>
        <w:tc>
          <w:tcPr>
            <w:tcW w:w="4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EE"/>
              <w:right w:val="single" w:sz="8" w:color="CCEEFF"/>
            </w:tcBorders>
            <w:shd w:val="clear" w:color="auto" w:fill="CCEEFF"/>
          </w:tcPr>
          <w:p>
            <w:pPr>
              <w:jc w:val="cente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16"/>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and Comprehensive Loss for the three months ended June 30, 2016 and 2015</w:t>
              </w:r>
            </w:hyperlink>
          </w:p>
        </w:tc>
        <w:tc>
          <w:tcPr>
            <w:tcW w:w="600" w:type="dxa"/>
            <w:vAlign w:val="bottom"/>
            <w:gridSpan w:val="2"/>
          </w:tcPr>
          <w:p>
            <w:pPr>
              <w:jc w:val="center"/>
              <w:ind w:left="33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three months ended June 30, 2016 and 2015</w:t>
              </w:r>
            </w:hyperlink>
          </w:p>
        </w:tc>
        <w:tc>
          <w:tcPr>
            <w:tcW w:w="2740" w:type="dxa"/>
            <w:vAlign w:val="bottom"/>
            <w:tcBorders>
              <w:bottom w:val="single" w:sz="8" w:color="CCEEFF"/>
            </w:tcBorders>
            <w:gridSpan w:val="2"/>
            <w:shd w:val="clear" w:color="auto" w:fill="CCEEFF"/>
          </w:tcPr>
          <w:p>
            <w:pPr>
              <w:spacing w:after="0"/>
              <w:rPr>
                <w:sz w:val="17"/>
                <w:szCs w:val="17"/>
                <w:color w:val="auto"/>
              </w:rPr>
            </w:pPr>
          </w:p>
        </w:tc>
        <w:tc>
          <w:tcPr>
            <w:tcW w:w="4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EE"/>
              <w:right w:val="single" w:sz="8" w:color="CCEEFF"/>
            </w:tcBorders>
            <w:shd w:val="clear" w:color="auto" w:fill="CCEEFF"/>
          </w:tcPr>
          <w:p>
            <w:pPr>
              <w:jc w:val="cente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600" w:type="dxa"/>
            <w:vAlign w:val="bottom"/>
            <w:gridSpan w:val="2"/>
          </w:tcPr>
          <w:p>
            <w:pPr>
              <w:jc w:val="center"/>
              <w:ind w:left="33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5</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600" w:type="dxa"/>
            <w:vAlign w:val="bottom"/>
            <w:tcBorders>
              <w:right w:val="single" w:sz="8" w:color="CCEEFF"/>
            </w:tcBorders>
            <w:gridSpan w:val="2"/>
            <w:shd w:val="clear" w:color="auto" w:fill="CCEEFF"/>
          </w:tcPr>
          <w:p>
            <w:pPr>
              <w:jc w:val="center"/>
              <w:ind w:left="33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3380" w:type="dxa"/>
            <w:vAlign w:val="bottom"/>
            <w:gridSpan w:val="3"/>
          </w:tcPr>
          <w:p>
            <w:pPr>
              <w:spacing w:after="0"/>
              <w:rPr>
                <w:sz w:val="15"/>
                <w:szCs w:val="15"/>
                <w:color w:val="auto"/>
              </w:rPr>
            </w:pPr>
          </w:p>
        </w:tc>
        <w:tc>
          <w:tcPr>
            <w:tcW w:w="600" w:type="dxa"/>
            <w:vAlign w:val="bottom"/>
            <w:gridSpan w:val="2"/>
          </w:tcPr>
          <w:p>
            <w:pPr>
              <w:jc w:val="center"/>
              <w:ind w:left="33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4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1.</w:t>
              </w:r>
            </w:hyperlink>
          </w:p>
        </w:tc>
        <w:tc>
          <w:tcPr>
            <w:tcW w:w="9840" w:type="dxa"/>
            <w:vAlign w:val="bottom"/>
            <w:gridSpan w:val="15"/>
          </w:tcPr>
          <w:p>
            <w:pPr>
              <w:ind w:left="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600" w:type="dxa"/>
            <w:vAlign w:val="bottom"/>
            <w:gridSpan w:val="2"/>
          </w:tcPr>
          <w:p>
            <w:pPr>
              <w:jc w:val="center"/>
              <w:ind w:left="33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80" w:type="dxa"/>
            <w:vAlign w:val="bottom"/>
            <w:gridSpan w:val="6"/>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1A. Risk Factors</w:t>
              </w:r>
            </w:hyperlink>
          </w:p>
        </w:tc>
        <w:tc>
          <w:tcPr>
            <w:tcW w:w="8800" w:type="dxa"/>
            <w:vAlign w:val="bottom"/>
            <w:gridSpan w:val="11"/>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center"/>
              <w:ind w:left="33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Item 2.</w:t>
              </w:r>
            </w:hyperlink>
          </w:p>
        </w:tc>
        <w:tc>
          <w:tcPr>
            <w:tcW w:w="9840" w:type="dxa"/>
            <w:vAlign w:val="bottom"/>
            <w:gridSpan w:val="15"/>
          </w:tcPr>
          <w:p>
            <w:pPr>
              <w:ind w:left="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600" w:type="dxa"/>
            <w:vAlign w:val="bottom"/>
            <w:gridSpan w:val="2"/>
          </w:tcPr>
          <w:p>
            <w:pPr>
              <w:jc w:val="center"/>
              <w:ind w:left="33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Item 3.</w:t>
              </w:r>
            </w:hyperlink>
          </w:p>
        </w:tc>
        <w:tc>
          <w:tcPr>
            <w:tcW w:w="3000" w:type="dxa"/>
            <w:vAlign w:val="bottom"/>
            <w:gridSpan w:val="7"/>
            <w:shd w:val="clear" w:color="auto" w:fill="CCEEFF"/>
          </w:tcPr>
          <w:p>
            <w:pPr>
              <w:ind w:left="4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Defaults Upon Senior Secured Securities</w:t>
              </w:r>
            </w:hyperlink>
          </w:p>
        </w:tc>
        <w:tc>
          <w:tcPr>
            <w:tcW w:w="6840" w:type="dxa"/>
            <w:vAlign w:val="bottom"/>
            <w:gridSpan w:val="8"/>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center"/>
              <w:ind w:left="33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Item 6.</w:t>
              </w:r>
            </w:hyperlink>
          </w:p>
        </w:tc>
        <w:tc>
          <w:tcPr>
            <w:tcW w:w="3000" w:type="dxa"/>
            <w:vAlign w:val="bottom"/>
            <w:gridSpan w:val="7"/>
          </w:tcPr>
          <w:p>
            <w:pPr>
              <w:ind w:left="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6840" w:type="dxa"/>
            <w:vAlign w:val="bottom"/>
            <w:gridSpan w:val="8"/>
          </w:tcPr>
          <w:p>
            <w:pPr>
              <w:spacing w:after="0"/>
              <w:rPr>
                <w:sz w:val="15"/>
                <w:szCs w:val="15"/>
                <w:color w:val="auto"/>
              </w:rPr>
            </w:pPr>
          </w:p>
        </w:tc>
        <w:tc>
          <w:tcPr>
            <w:tcW w:w="600" w:type="dxa"/>
            <w:vAlign w:val="bottom"/>
            <w:gridSpan w:val="2"/>
          </w:tcPr>
          <w:p>
            <w:pPr>
              <w:jc w:val="center"/>
              <w:ind w:left="33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7"/>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600" w:type="dxa"/>
            <w:vAlign w:val="bottom"/>
            <w:gridSpan w:val="2"/>
          </w:tcPr>
          <w:p>
            <w:pPr>
              <w:jc w:val="center"/>
              <w:ind w:left="330"/>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62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rPr>
              <w:t>VISTAGEN THERAPEUTICS,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48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480" w:type="dxa"/>
            <w:vAlign w:val="bottom"/>
            <w:vMerge w:val="restart"/>
          </w:tcPr>
          <w:p>
            <w:pPr>
              <w:jc w:val="center"/>
              <w:ind w:right="125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7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8,499,900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134,700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8,634,600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76,300</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87,600</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46,900</w:t>
            </w: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8,757,800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jc w:val="center"/>
              <w:ind w:right="123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930,100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564,800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20"/>
              <w:spacing w:after="0"/>
              <w:rPr>
                <w:sz w:val="20"/>
                <w:szCs w:val="20"/>
                <w:color w:val="auto"/>
              </w:rPr>
            </w:pPr>
            <w:r>
              <w:rPr>
                <w:rFonts w:ascii="Arial" w:cs="Arial" w:eastAsia="Arial" w:hAnsi="Arial"/>
                <w:sz w:val="18"/>
                <w:szCs w:val="18"/>
                <w:color w:val="auto"/>
              </w:rPr>
              <w:t>Current portion of notes payable and accrued 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105,900</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1,601,700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1,794,700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946,000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rent liability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gridSpan w:val="2"/>
          </w:tcPr>
          <w:p>
            <w:pPr>
              <w:ind w:left="380"/>
              <w:spacing w:after="0"/>
              <w:rPr>
                <w:sz w:val="20"/>
                <w:szCs w:val="20"/>
                <w:color w:val="auto"/>
              </w:rPr>
            </w:pPr>
            <w:r>
              <w:rPr>
                <w:rFonts w:ascii="Arial" w:cs="Arial" w:eastAsia="Arial" w:hAnsi="Arial"/>
                <w:sz w:val="18"/>
                <w:szCs w:val="18"/>
                <w:color w:val="auto"/>
              </w:rPr>
              <w:t>Total non-current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993,600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2,595,300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Preferred stock, $0.001 par value; 10,000,000 shares authorized at June 30, 2016 and March 31,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Series A Preferred, 500,000 shares authorized and outstanding at June 30, 2016 and March 31, 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86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Series B Preferred; 4,000,000 shares authorized at June 30, 2016 and March 31, 2016;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20"/>
              <w:spacing w:after="0"/>
              <w:rPr>
                <w:sz w:val="20"/>
                <w:szCs w:val="20"/>
                <w:color w:val="auto"/>
              </w:rPr>
            </w:pPr>
            <w:r>
              <w:rPr>
                <w:rFonts w:ascii="Arial" w:cs="Arial" w:eastAsia="Arial" w:hAnsi="Arial"/>
                <w:sz w:val="18"/>
                <w:szCs w:val="18"/>
                <w:color w:val="auto"/>
                <w:w w:val="91"/>
              </w:rPr>
              <w:t>1,247,740 shares and 3,663,077 shares issued and outstanding at June 30, 2016 and March 31, 2016, 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Series C Preferred; 3,000,000 shares authorized at June 30, 2016 and March 31, 2016; 2,318,012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shares issued and outstanding at June 30, 2016 and March 31, 2016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2"/>
        </w:trPr>
        <w:tc>
          <w:tcPr>
            <w:tcW w:w="862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2"/>
              </w:rPr>
              <w:t>Common stock, $0.001 par value; 30,000,000 shares authorized at June 30, 2016 and March 31, 2016; 8,106,370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500"/>
              <w:spacing w:after="0"/>
              <w:rPr>
                <w:sz w:val="20"/>
                <w:szCs w:val="20"/>
                <w:color w:val="auto"/>
              </w:rPr>
            </w:pPr>
            <w:r>
              <w:rPr>
                <w:rFonts w:ascii="Arial" w:cs="Arial" w:eastAsia="Arial" w:hAnsi="Arial"/>
                <w:sz w:val="18"/>
                <w:szCs w:val="18"/>
                <w:color w:val="auto"/>
              </w:rPr>
              <w:t>and 2,623,145 shares issued at June 30, 2016 and March 31, 2016, 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8,100</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143,828,800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132,725,000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20"/>
              <w:spacing w:after="0"/>
              <w:rPr>
                <w:sz w:val="20"/>
                <w:szCs w:val="20"/>
                <w:color w:val="auto"/>
              </w:rPr>
            </w:pPr>
            <w:r>
              <w:rPr>
                <w:rFonts w:ascii="Arial" w:cs="Arial" w:eastAsia="Arial" w:hAnsi="Arial"/>
                <w:sz w:val="18"/>
                <w:szCs w:val="18"/>
                <w:color w:val="auto"/>
              </w:rPr>
              <w:t>Treasury stock, at cost, 135,665 shares of common stock held at June 30, 2016 and March 31,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(133,710,300)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(131,743,200)</w:t>
            </w: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6,162,500</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(2,977,200)</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8,757,800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1,137,600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1,448,500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(1,963,300)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(1,821,100)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warrant liability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(25,050,900)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(29,521,800)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(1,967,100)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(29,524,100)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Deemed dividend on Series B Preferred Units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(111,100)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(256,200)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(2,618,000)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(29,993,600)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rPr>
              <w:t>Basic and diluted net loss attributable to common stockholders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per common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(0.51)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attributable to common stockholders per common share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5,097,832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1,559,483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Comprehensive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(1,967,100)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(29,524,100)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vMerge w:val="restart"/>
          </w:tcPr>
          <w:p>
            <w:pPr>
              <w:jc w:val="center"/>
              <w:ind w:left="271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620" w:type="dxa"/>
            <w:vAlign w:val="bottom"/>
            <w:gridSpan w:val="2"/>
          </w:tcPr>
          <w:p>
            <w:pPr>
              <w:jc w:val="right"/>
              <w:ind w:right="27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6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rPr>
              <w:t>VISTAGEN THERAPEUTICS,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(Amounts in Dollars)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(1,967,100)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(29,524,100)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Amortization of discounts on convertible and promissory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warrant liability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107,900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Expense related to modification of warrants, including exchange of warrants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for Series C Preferred and common stock</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rent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Fair value of common stock granted for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Fair value of Series B Preferred stock granted for services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currency fluctuation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25,050,900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(1,671,000)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(823,300)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9,537,100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proceeds from issuance of Series B Preferred Units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Repayment of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(70,400)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9,744,400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8,071,400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8,499,900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Supplemental disclosure of noncash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 Senior Secured Notes, Subordinate Convertible Notes, Promissory</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Notes, Accounts payable and other debt into Series B Preferred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Insurance premiums settled by issuing note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117,500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539,800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Accrued dividends on Series B Preferred settled upon conversion by issuance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of common stock</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1,683,400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VistaGen Therapeutics, Inc. (NASDAQ: VTGN), a Nevada corporation, is a clinical-stage biopharmaceutical company dedicated to developing and commercializing innovative product candidates for patients with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xml:space="preserve">).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VistaGen Therapeutics, Inc., a Nevada corporation.</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lead product candidate, AV-101, is a new generation, oral antidepressant drug candidate in Phase 2 development for the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We believe AV-101 may also have therapeutic potential in chronic neuropathic pain, epilepsy, Huntington’s disease and Parkinson’s disease.</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used to augment standard antidepressant therapy.</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ongoing Phase 2a clinical study of AV-101 in subjects with treatment-resistant MDD is being fully funded by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under our February 2015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and is being conducted by Dr. Carlos Zarate, Jr., Chief of the NIMH’s Experimental Therapeutics &amp; Pathophysiology Branch and its Section on Neurobiology and Treatment of Mood and Anxiety Disorders. The first patient in this NIMH-sponsored Phase 2a study was dosed in November 2015. Previous NIMH studies, including studies conducted by Dr. Zarate, have focused on the antidepressant effects of low dose, intravenous (</w:t>
      </w:r>
      <w:r>
        <w:rPr>
          <w:rFonts w:ascii="Arial" w:cs="Arial" w:eastAsia="Arial" w:hAnsi="Arial"/>
          <w:sz w:val="18"/>
          <w:szCs w:val="18"/>
          <w:i w:val="1"/>
          <w:iCs w:val="1"/>
          <w:color w:val="auto"/>
        </w:rPr>
        <w:t>I.V.</w:t>
      </w:r>
      <w:r>
        <w:rPr>
          <w:rFonts w:ascii="Arial" w:cs="Arial" w:eastAsia="Arial" w:hAnsi="Arial"/>
          <w:sz w:val="18"/>
          <w:szCs w:val="18"/>
          <w:color w:val="auto"/>
        </w:rPr>
        <w:t>) ketamine in patients with treatment-resistant depression. These NIMH studies, as well as clinical research by others, have demonstrated robust antidepressant effects in patients with treatment-resistant MDD within twenty-four hours of a single low dose of I.V. ketamine. We believe AV-101 may have potential to deliver ketamine-like fast-acting antidepressant effects without ketamine’s serious side effects.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preparing to launch our Phase 2b clinical study of AV-101 for the adjunctive treatment of MDD in patients with an inadequate response to standard, FDA-approved antidepressants. We anticipate commencement of this multi-center, multi-dose, double blind, placebo-controlled Phase 2b efficacy and safety study at the end of the fourth quarter of 2016. Dr. Maurizio Fava, Professor of Psychiatry at Harvard Medical School and Director, Division of Clinical Research, Massachusetts General Hospital (</w:t>
      </w:r>
      <w:r>
        <w:rPr>
          <w:rFonts w:ascii="Arial" w:cs="Arial" w:eastAsia="Arial" w:hAnsi="Arial"/>
          <w:sz w:val="17"/>
          <w:szCs w:val="17"/>
          <w:i w:val="1"/>
          <w:iCs w:val="1"/>
          <w:color w:val="auto"/>
        </w:rPr>
        <w:t>MGH</w:t>
      </w:r>
      <w:r>
        <w:rPr>
          <w:rFonts w:ascii="Arial" w:cs="Arial" w:eastAsia="Arial" w:hAnsi="Arial"/>
          <w:sz w:val="17"/>
          <w:szCs w:val="17"/>
          <w:color w:val="auto"/>
        </w:rPr>
        <w:t>) Research Institute, will be the Principal Investigator of our Phase 2b study of AV-101 in treatment resistant MDD. Dr. Fava was the co-Principal Investigator with Dr. A. John Rush of the largest clinical trial conducted in depression to date, the STAR*D study, whose findings were published in journals such the New England Journal of Medicine (</w:t>
      </w:r>
      <w:r>
        <w:rPr>
          <w:rFonts w:ascii="Arial" w:cs="Arial" w:eastAsia="Arial" w:hAnsi="Arial"/>
          <w:sz w:val="17"/>
          <w:szCs w:val="17"/>
          <w:i w:val="1"/>
          <w:iCs w:val="1"/>
          <w:color w:val="auto"/>
        </w:rPr>
        <w:t>NEJM</w:t>
      </w:r>
      <w:r>
        <w:rPr>
          <w:rFonts w:ascii="Arial" w:cs="Arial" w:eastAsia="Arial" w:hAnsi="Arial"/>
          <w:sz w:val="17"/>
          <w:szCs w:val="17"/>
          <w:color w:val="auto"/>
        </w:rPr>
        <w:t>) and the Journal of the American Medical Association (</w:t>
      </w:r>
      <w:r>
        <w:rPr>
          <w:rFonts w:ascii="Arial" w:cs="Arial" w:eastAsia="Arial" w:hAnsi="Arial"/>
          <w:sz w:val="17"/>
          <w:szCs w:val="17"/>
          <w:i w:val="1"/>
          <w:iCs w:val="1"/>
          <w:color w:val="auto"/>
        </w:rPr>
        <w:t>JAMA</w:t>
      </w:r>
      <w:r>
        <w:rPr>
          <w:rFonts w:ascii="Arial" w:cs="Arial" w:eastAsia="Arial" w:hAnsi="Arial"/>
          <w:sz w:val="17"/>
          <w:szCs w:val="17"/>
          <w:color w:val="auto"/>
        </w:rPr>
        <w:t>). We currently anticipate top line results in this Phase 2b study in the second quarter of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clinical development of AV-101, we are focused on advancing potential commercial applications of our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technology platform with respect to drug rescue programs aimed at developing proprietary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drug candidate pipeline. We are also focused on potential regenerative medicine applications using blood, cartilage, heart and/or liver cells derived from hPSCs, and may pursue these applications in collaboration with third-parties.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World Health Organization (</w:t>
      </w:r>
      <w:r>
        <w:rPr>
          <w:rFonts w:ascii="Arial" w:cs="Arial" w:eastAsia="Arial" w:hAnsi="Arial"/>
          <w:sz w:val="17"/>
          <w:szCs w:val="17"/>
          <w:i w:val="1"/>
          <w:iCs w:val="1"/>
          <w:color w:val="auto"/>
        </w:rPr>
        <w:t>WHO</w:t>
      </w:r>
      <w:r>
        <w:rPr>
          <w:rFonts w:ascii="Arial" w:cs="Arial" w:eastAsia="Arial" w:hAnsi="Arial"/>
          <w:sz w:val="17"/>
          <w:szCs w:val="17"/>
          <w:color w:val="auto"/>
        </w:rPr>
        <w:t>) estimates that 350 million people worldwide are affected by depression. According to the U.S. National Institutes of Health (</w:t>
      </w:r>
      <w:r>
        <w:rPr>
          <w:rFonts w:ascii="Arial" w:cs="Arial" w:eastAsia="Arial" w:hAnsi="Arial"/>
          <w:sz w:val="17"/>
          <w:szCs w:val="17"/>
          <w:i w:val="1"/>
          <w:iCs w:val="1"/>
          <w:color w:val="auto"/>
        </w:rPr>
        <w:t>NIH</w:t>
      </w:r>
      <w:r>
        <w:rPr>
          <w:rFonts w:ascii="Arial" w:cs="Arial" w:eastAsia="Arial" w:hAnsi="Arial"/>
          <w:sz w:val="17"/>
          <w:szCs w:val="17"/>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7"/>
          <w:szCs w:val="17"/>
          <w:i w:val="1"/>
          <w:iCs w:val="1"/>
          <w:color w:val="auto"/>
        </w:rPr>
        <w:t>CDC</w:t>
      </w:r>
      <w:r>
        <w:rPr>
          <w:rFonts w:ascii="Arial" w:cs="Arial" w:eastAsia="Arial" w:hAnsi="Arial"/>
          <w:sz w:val="17"/>
          <w:szCs w:val="17"/>
          <w:color w:val="auto"/>
        </w:rPr>
        <w:t>) one in 10 Americans over the age of 12 takes an antidepressant medication.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standard, FDA-approved antidepressants target neurotransmitter reuptake inhibition – either serotonin (</w:t>
      </w:r>
      <w:r>
        <w:rPr>
          <w:rFonts w:ascii="Arial" w:cs="Arial" w:eastAsia="Arial" w:hAnsi="Arial"/>
          <w:sz w:val="17"/>
          <w:szCs w:val="17"/>
          <w:i w:val="1"/>
          <w:iCs w:val="1"/>
          <w:color w:val="auto"/>
        </w:rPr>
        <w:t>SSRIs</w:t>
      </w:r>
      <w:r>
        <w:rPr>
          <w:rFonts w:ascii="Arial" w:cs="Arial" w:eastAsia="Arial" w:hAnsi="Arial"/>
          <w:sz w:val="17"/>
          <w:szCs w:val="17"/>
          <w:color w:val="auto"/>
        </w:rPr>
        <w:t>) or serotonin/norepinephrine (</w:t>
      </w:r>
      <w:r>
        <w:rPr>
          <w:rFonts w:ascii="Arial" w:cs="Arial" w:eastAsia="Arial" w:hAnsi="Arial"/>
          <w:sz w:val="17"/>
          <w:szCs w:val="17"/>
          <w:i w:val="1"/>
          <w:iCs w:val="1"/>
          <w:color w:val="auto"/>
        </w:rPr>
        <w:t>SNRIs</w:t>
      </w:r>
      <w:r>
        <w:rPr>
          <w:rFonts w:ascii="Arial" w:cs="Arial" w:eastAsia="Arial" w:hAnsi="Arial"/>
          <w:sz w:val="17"/>
          <w:szCs w:val="17"/>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do not achieve adequate therapeutic benefits. Such treatment-resistant depression patients often seek to treat their depression with non-drug-related approaches, such as Electroconvulsive Therapy (</w:t>
      </w:r>
      <w:r>
        <w:rPr>
          <w:rFonts w:ascii="Arial" w:cs="Arial" w:eastAsia="Arial" w:hAnsi="Arial"/>
          <w:sz w:val="17"/>
          <w:szCs w:val="17"/>
          <w:i w:val="1"/>
          <w:iCs w:val="1"/>
          <w:color w:val="auto"/>
        </w:rPr>
        <w:t>ECT</w:t>
      </w:r>
      <w:r>
        <w:rPr>
          <w:rFonts w:ascii="Arial" w:cs="Arial" w:eastAsia="Arial" w:hAnsi="Arial"/>
          <w:sz w:val="17"/>
          <w:szCs w:val="17"/>
          <w:color w:val="auto"/>
        </w:rPr>
        <w:t>), or to augment their inadequate response to standard antidepressants by adding an atypical antipsychotic (such as, for example, aripiprazole) to their treatment regimen, despite the modest potential therapeutic benefit and significant risk of additional side effects with such augmentation options.</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6" w:name="page7"/>
    <w:bookmarkEnd w:id="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standard antidepressants have risks of significant side effects, including, among others, potentially anxiety, metabolic syndrome, sleep disturbance and sexual dysfunction. They also have a “Black Box” warning due to risks of worsening depression and suicide in certain groups.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 Use of ECT increases the risk of serious side effects, including, headaches, tiredness, disorientation, intense sleepiness, hallucinations and long-term memory loss.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AV-101, our oral new generation antidepressant 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7"/>
          <w:szCs w:val="17"/>
          <w:i w:val="1"/>
          <w:iCs w:val="1"/>
          <w:color w:val="auto"/>
        </w:rPr>
        <w:t>Journal of Pharmacology and Experimental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Therapeutics, </w:t>
      </w:r>
      <w:r>
        <w:rPr>
          <w:rFonts w:ascii="Arial" w:cs="Arial" w:eastAsia="Arial" w:hAnsi="Arial"/>
          <w:sz w:val="17"/>
          <w:szCs w:val="17"/>
          <w:color w:val="auto"/>
        </w:rPr>
        <w:t>in an article entitled,</w:t>
      </w:r>
      <w:r>
        <w:rPr>
          <w:rFonts w:ascii="Arial" w:cs="Arial" w:eastAsia="Arial" w:hAnsi="Arial"/>
          <w:sz w:val="17"/>
          <w:szCs w:val="17"/>
          <w:i w:val="1"/>
          <w:iCs w:val="1"/>
          <w:color w:val="auto"/>
        </w:rPr>
        <w:t xml:space="preserve"> The prodrug 4-chlorokynurenine causes ketamine-like antidepressant effects, but not side effects, by NMDA/glycineB-site inhibition, </w:t>
      </w:r>
      <w:r>
        <w:rPr>
          <w:rFonts w:ascii="Arial" w:cs="Arial" w:eastAsia="Arial" w:hAnsi="Arial"/>
          <w:sz w:val="17"/>
          <w:szCs w:val="17"/>
          <w:color w:val="auto"/>
        </w:rPr>
        <w:t>using well-established preclinical models of depression, AV-101 was shown to induce fast-acting, dose-dependent, persistent and statistically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significant antidepressant-like responses, following a single treatment. These responses were equivalent to those seen with a single, sub-anesthetic control dose of the NMDAR antagonist ketamine. In the same preclinical studies, a standard antidepressant, the SSRI fluoxetine, did not induce rapid onset antidepressant-like responses. In addition, these studies confirmed that the fast-acting antidepressive effects of AV-101 were mediated through the GlyB site and involved the activation of a key neurological pathway, the alpha-amino-3-hydroxy-5-methyl-4-isoxazolepropionic acid </w:t>
      </w:r>
      <w:r>
        <w:rPr>
          <w:rFonts w:ascii="Arial" w:cs="Arial" w:eastAsia="Arial" w:hAnsi="Arial"/>
          <w:sz w:val="17"/>
          <w:szCs w:val="17"/>
          <w:b w:val="1"/>
          <w:bCs w:val="1"/>
          <w:color w:val="auto"/>
        </w:rPr>
        <w:t>(</w:t>
      </w:r>
      <w:r>
        <w:rPr>
          <w:rFonts w:ascii="Arial" w:cs="Arial" w:eastAsia="Arial" w:hAnsi="Arial"/>
          <w:sz w:val="17"/>
          <w:szCs w:val="17"/>
          <w:i w:val="1"/>
          <w:iCs w:val="1"/>
          <w:color w:val="auto"/>
        </w:rPr>
        <w:t>AMPA</w:t>
      </w:r>
      <w:r>
        <w:rPr>
          <w:rFonts w:ascii="Arial" w:cs="Arial" w:eastAsia="Arial" w:hAnsi="Arial"/>
          <w:sz w:val="17"/>
          <w:szCs w:val="17"/>
          <w:color w:val="auto"/>
        </w:rPr>
        <w:t>) receptor pathway. Activation of the AMPA receptor pathway is a common feature of fast-acting antidepressants.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Following the completion of our NIH-funded, randomized, double blind, placebo-controlled Phase 1a and Phase 1b safety studies, we are now collaborating with the NIMH in a Phase 2a study. Under our February 2015 CRADA, the NIMH is funding, and Dr. Carlos Zarate Jr. of the NIMH as Principal Investigator is conducting, our ongoing Phase 2a efficacy and safety study of AV-101 in subjects with treatment-resistant MDD. The trial is expected to enroll 20 to 28 patients. The first patient was dosed in November 2015, and we currently anticipate receiving topline results in the second quarter of 2017.</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preparing to launch our Phase 2b clinical study of AV-101 for the adjunctive treatment of MDD in patients with an inadequate response to standard, FDA-approved antidepressants. We anticipate the launch of this Phase 2b study, with Dr. Maurizio Fava of Harvard Medical School serving as Principal Investigator, at the end of the fourth quarter of 2016. We anticipate top line results from this Phase 2b study in the second quarter of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Several preclinical studies support the hypothesis that AV-101 also has the potential to treat multiple CNS disorders and neurodegenerative diseases in addition to depression, including chronic neuropathic pain, epilepsy, Parkinson’s disease and Huntington’s disease, where modulation of the NMDAR, AMPA pathway and/or active metabolites of AV-101 may achieve therapeutic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long before they are ever tested in animal and human studies. Our current strategic interests involving our stem cell technology platform include (i) advancing current internal efforts focused 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drug rescue to expand our drug candidate pipeline with selected proprietary small molecule NCEs, leveraging substantial prior research and development investments by pharmaceutical companies and others related to public domain NCEs terminated before FDA approval due to heart toxicity risks and (ii) establishing collaborative arrangements with qualified third-parties focused on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applications, including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involving hPSC-derived blood, bone, cartilage, heart and/or liver cells.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VistaGen Therapeutics, Inc., a California corporation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2016 has been derived from our audited consolidated financial statements at that date but does not include all disclosures required by U.S. GAAP. The operating results for the three months ended June 30, 2016 are not necessarily indicative of the operating results to be expected for our fiscal year ending March 31, 2017 or for any other interim period or any other future period.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the fiscal year ended March 31, 2016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24, 2016.</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Condensed Consolidated Financial Statements have been prepared assuming we will continue as a going concern. As a developing-technology company having not yet developed commercial products or achieved sustainable revenues, we have experienced recurring losses and negative cash flows from operations resulting in a deficit of $133.7 million accumulated from inception through June 30, 2016.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our inception in May 1998 through June 30, 2016, we have financed our operations and technology acquisitions primarily through the issuance and sale of our equity and debt securities, including convertible promissory notes and short-term promissory notes, for cash proceeds of approximately $44.3 million, as well as from an aggregate of approximately $16.4 million of government research grant awards, strategic collaboration payments and other revenues. Additionally, we have issued equity securities with an approximate value at issuance of $29.1 million in non-cash settlements of certain liabilities, including liabilities for professional services rendered to us or as compensation for such services.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Between April 1, 2016 and May 4, 2016, we sold to accredited investors Series B Preferred Units consisting of 39,714 unregistered shares of our Series B Preferred Stock, par value $0.001 per share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and five year warrants to purchase 39,714 shares of our common stock, from which we received cash proceeds of $278,000. Further, on May 16, 2016 we consummated an underwritten public offering pursuant to which we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(the </w:t>
      </w:r>
      <w:r>
        <w:rPr>
          <w:rFonts w:ascii="Arial" w:cs="Arial" w:eastAsia="Arial" w:hAnsi="Arial"/>
          <w:sz w:val="17"/>
          <w:szCs w:val="17"/>
          <w:i w:val="1"/>
          <w:iCs w:val="1"/>
          <w:color w:val="auto"/>
        </w:rPr>
        <w:t>May 2016 Public Offering</w:t>
      </w:r>
      <w:r>
        <w:rPr>
          <w:rFonts w:ascii="Arial" w:cs="Arial" w:eastAsia="Arial" w:hAnsi="Arial"/>
          <w:sz w:val="17"/>
          <w:szCs w:val="17"/>
          <w:color w:val="auto"/>
        </w:rPr>
        <w:t>). We received net cash proceeds of approximately $9.5 million from the May 2016 Public Offering after deducting fees and expenses. We expect the proceeds of these transactions to provide sufficient cash to sustain our operations through our fiscal year ending March 31, 2017, however they will not be adequate to enable the completion of our Phase 2b clinical trial of AV-101 in MDD. Accordingly, we intend to raise additional capital through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for the NIMH to fund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accounting, public company compliance and other professional services and working capital costs.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Condensed Consolidated Financial Statements do not include any adjustments that might result from the outcome of this uncertainty.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months ended June 30,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grants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w:t>
            </w:r>
          </w:p>
        </w:tc>
      </w:tr>
      <w:tr>
        <w:trPr>
          <w:trHeight w:val="223"/>
        </w:trPr>
        <w:tc>
          <w:tcPr>
            <w:tcW w:w="8820" w:type="dxa"/>
            <w:vAlign w:val="bottom"/>
          </w:tcPr>
          <w:p>
            <w:pPr>
              <w:ind w:left="160"/>
              <w:spacing w:after="0"/>
              <w:rPr>
                <w:sz w:val="20"/>
                <w:szCs w:val="20"/>
                <w:color w:val="auto"/>
              </w:rPr>
            </w:pPr>
            <w:r>
              <w:rPr>
                <w:rFonts w:ascii="Arial" w:cs="Arial" w:eastAsia="Arial" w:hAnsi="Arial"/>
                <w:sz w:val="18"/>
                <w:szCs w:val="18"/>
                <w:color w:val="auto"/>
              </w:rPr>
              <w:t>Warrants granted to officer in March 2014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r>
      <w:tr>
        <w:trPr>
          <w:trHeight w:val="223"/>
        </w:trPr>
        <w:tc>
          <w:tcPr>
            <w:tcW w:w="8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18,300</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grants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r>
      <w:tr>
        <w:trPr>
          <w:trHeight w:val="202"/>
        </w:trPr>
        <w:tc>
          <w:tcPr>
            <w:tcW w:w="8820" w:type="dxa"/>
            <w:vAlign w:val="bottom"/>
          </w:tcPr>
          <w:p>
            <w:pPr>
              <w:ind w:left="160"/>
              <w:spacing w:after="0" w:line="201" w:lineRule="exact"/>
              <w:rPr>
                <w:sz w:val="20"/>
                <w:szCs w:val="20"/>
                <w:color w:val="auto"/>
              </w:rPr>
            </w:pPr>
            <w:r>
              <w:rPr>
                <w:rFonts w:ascii="Arial" w:cs="Arial" w:eastAsia="Arial" w:hAnsi="Arial"/>
                <w:sz w:val="18"/>
                <w:szCs w:val="18"/>
                <w:color w:val="auto"/>
              </w:rPr>
              <w:t>Warrants granted to officers and directors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820" w:type="dxa"/>
            <w:vAlign w:val="bottom"/>
          </w:tcPr>
          <w:p>
            <w:pPr>
              <w:ind w:left="400"/>
              <w:spacing w:after="0"/>
              <w:rPr>
                <w:sz w:val="20"/>
                <w:szCs w:val="20"/>
                <w:color w:val="auto"/>
              </w:rPr>
            </w:pPr>
            <w:r>
              <w:rPr>
                <w:rFonts w:ascii="Arial" w:cs="Arial" w:eastAsia="Arial" w:hAnsi="Arial"/>
                <w:sz w:val="18"/>
                <w:szCs w:val="18"/>
                <w:color w:val="auto"/>
              </w:rPr>
              <w:t>in March 2014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10,900</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107,900</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29,200</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19, 2016,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approved the grant of options to purchase an aggregate of 655,000 shares of our common stock at an exercise price of $3.49 per share to the independent members of our Board and to our officers, including our newly-hired Chief Medical Officer. We did not grant any stock options during the three months ended June 30, 2015. At June 30, 2016, there were stock options outstanding to purchase 986,987 shares of our common stock at a weighted average exercise price of $5.53 per share. We valued the options granted in June 2016 using the Black-Scholes Option Pricing Model and the following weighted average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which was eliminated in May 2015, had no impact on the diluted net earnings per share calculation in any period included in these Condensed Consolidated Financial Statements.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of net loss per share, as their effect would be antidilutive. For the three month periods ended June 30, 2016 and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ind w:left="7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5"/>
                <w:szCs w:val="25"/>
                <w:color w:val="auto"/>
                <w:vertAlign w:val="superscript"/>
              </w:rPr>
              <w:t>(1)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5"/>
                <w:szCs w:val="25"/>
                <w:color w:val="auto"/>
                <w:vertAlign w:val="superscript"/>
              </w:rPr>
              <w:t>(2)</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1,247,740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5"/>
                <w:szCs w:val="25"/>
                <w:color w:val="auto"/>
                <w:vertAlign w:val="superscript"/>
              </w:rPr>
              <w:t>(3)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2,318,012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986,987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4,606,480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issuable to PLTG upon exchange of Series A Preferred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the terms of the October 11, 2012 Note Exchange and Purchase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 as subsequently amended</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9,909,219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8,223,105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tcBorders>
              <w:top w:val="single" w:sz="8" w:color="CCEEFF"/>
            </w:tcBorders>
          </w:tcPr>
          <w:p>
            <w:pPr>
              <w:spacing w:after="0" w:line="206" w:lineRule="exact"/>
              <w:rPr>
                <w:sz w:val="20"/>
                <w:szCs w:val="20"/>
                <w:color w:val="auto"/>
              </w:rPr>
            </w:pPr>
            <w:r>
              <w:rPr>
                <w:rFonts w:ascii="Arial" w:cs="Arial" w:eastAsia="Arial" w:hAnsi="Arial"/>
                <w:sz w:val="18"/>
                <w:szCs w:val="18"/>
                <w:color w:val="auto"/>
              </w:rPr>
              <w:t>____________</w:t>
            </w: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199"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Assumes exchange under the terms of the October 11, 2012 Note Exchange and Purchase Agreement with PLTG, as amended</w:t>
      </w:r>
    </w:p>
    <w:p>
      <w:pPr>
        <w:spacing w:after="0" w:line="2" w:lineRule="exact"/>
        <w:rPr>
          <w:rFonts w:ascii="Arial" w:cs="Arial" w:eastAsia="Arial" w:hAnsi="Arial"/>
          <w:sz w:val="23"/>
          <w:szCs w:val="23"/>
          <w:color w:val="auto"/>
          <w:vertAlign w:val="superscript"/>
        </w:rPr>
      </w:pPr>
    </w:p>
    <w:p>
      <w:pPr>
        <w:ind w:left="200" w:right="420" w:hanging="192"/>
        <w:spacing w:after="0" w:line="249" w:lineRule="auto"/>
        <w:tabs>
          <w:tab w:leader="none" w:pos="184"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B 10% Convertible Preferred Stock, effective May 5, 2015</w:t>
      </w:r>
    </w:p>
    <w:p>
      <w:pPr>
        <w:ind w:left="200" w:right="280" w:hanging="192"/>
        <w:spacing w:after="0" w:line="265" w:lineRule="auto"/>
        <w:tabs>
          <w:tab w:leader="none" w:pos="184"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C Convertible Preferred Stock, effective January 25, 2016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three months ended June 30, 2016, as compared to the recent accounting pronouncements described in the Company’s Form 10-K for the fiscal year ended March 31, 2016, that are of significance or potential significance to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instruments for hedging of market risks or for trading or speculative purposes.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conjunction with certain Senior Secured Convertible Promissory Notes that we issued to Platinum Long Term Growth VII, LLC (</w:t>
      </w:r>
      <w:r>
        <w:rPr>
          <w:rFonts w:ascii="Arial" w:cs="Arial" w:eastAsia="Arial" w:hAnsi="Arial"/>
          <w:sz w:val="17"/>
          <w:szCs w:val="17"/>
          <w:i w:val="1"/>
          <w:iCs w:val="1"/>
          <w:color w:val="auto"/>
        </w:rPr>
        <w:t>PLTG</w:t>
      </w:r>
      <w:r>
        <w:rPr>
          <w:rFonts w:ascii="Arial" w:cs="Arial" w:eastAsia="Arial" w:hAnsi="Arial"/>
          <w:sz w:val="17"/>
          <w:szCs w:val="17"/>
          <w:color w:val="auto"/>
        </w:rPr>
        <w:t>) between October 2012 and July 2013 and the related PLTG Warrants, and the contingently issuable Series A Exchange Warrant, we determined that the warrants included certain exercise price adjustment features requiring the warrants to be treated as liabilities, which were recorded at their issuance-date estimated fair values and marked to market at each subsequent reporting period. We determined the fair value of the warrant liabilities using Level 3 (unobservable) inputs, since there was minimal comparable external market data available. Inputs used to determine fair value included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The change in the fair value of these warrant liabilities between March 31, 2015 and their subsequent elimination (described below) was recognized as a non-cash expense in the Condensed Consolidated Statement of Operations and Comprehensive Loss for the three months ended June 30, 2015.</w:t>
      </w:r>
    </w:p>
    <w:p>
      <w:pPr>
        <w:sectPr>
          <w:pgSz w:w="11900" w:h="16838" w:orient="portrait"/>
          <w:cols w:equalWidth="0" w:num="1">
            <w:col w:w="11420"/>
          </w:cols>
          <w:pgMar w:left="240" w:top="130" w:right="239" w:bottom="206"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206" w:gutter="0" w:footer="0" w:header="0"/>
          <w:type w:val="continuous"/>
        </w:sectPr>
      </w:pPr>
    </w:p>
    <w:bookmarkStart w:id="10" w:name="page11"/>
    <w:bookmarkEnd w:id="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2016, we entered into an Exchange Agreement with PLTG pursuant to which PLTG exchanged all outstanding PLTG Warrants plus the shares issuable pursuant to the Series A Preferred Exchange Warrant for unregistered shares of our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in the ratio of 0.75 share of Series C Preferred for each warrant share cancelled.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We carried no assets or liabilities at fair value at June 30, 2016 or March 31, 2016.</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00" w:type="dxa"/>
            <w:vAlign w:val="bottom"/>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0" w:type="dxa"/>
            <w:vAlign w:val="bottom"/>
          </w:tcPr>
          <w:p>
            <w:pPr>
              <w:spacing w:after="0"/>
              <w:rPr>
                <w:sz w:val="20"/>
                <w:szCs w:val="20"/>
                <w:color w:val="auto"/>
              </w:rPr>
            </w:pPr>
            <w:r>
              <w:rPr>
                <w:rFonts w:ascii="Arial" w:cs="Arial" w:eastAsia="Arial" w:hAnsi="Arial"/>
                <w:sz w:val="18"/>
                <w:szCs w:val="18"/>
                <w:color w:val="auto"/>
                <w:w w:val="93"/>
              </w:rPr>
              <w:t>Prepaid expenses and other current assets are composed of the following at June 30, 2016 and March 31, 2016:</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8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2"/>
        </w:trPr>
        <w:tc>
          <w:tcPr>
            <w:tcW w:w="8400" w:type="dxa"/>
            <w:vAlign w:val="bottom"/>
          </w:tcPr>
          <w:p>
            <w:pPr>
              <w:ind w:left="60"/>
              <w:spacing w:after="0" w:line="201" w:lineRule="exact"/>
              <w:rPr>
                <w:sz w:val="20"/>
                <w:szCs w:val="20"/>
                <w:color w:val="auto"/>
              </w:rPr>
            </w:pPr>
            <w:r>
              <w:rPr>
                <w:rFonts w:ascii="Arial" w:cs="Arial" w:eastAsia="Arial" w:hAnsi="Arial"/>
                <w:sz w:val="18"/>
                <w:szCs w:val="18"/>
                <w:color w:val="auto"/>
              </w:rPr>
              <w:t>Prepaid compensation under financial advisory</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40"/>
              <w:spacing w:after="0"/>
              <w:rPr>
                <w:sz w:val="20"/>
                <w:szCs w:val="20"/>
                <w:color w:val="auto"/>
              </w:rPr>
            </w:pPr>
            <w:r>
              <w:rPr>
                <w:rFonts w:ascii="Arial" w:cs="Arial" w:eastAsia="Arial" w:hAnsi="Arial"/>
                <w:sz w:val="18"/>
                <w:szCs w:val="18"/>
                <w:color w:val="auto"/>
              </w:rPr>
              <w:t>and other consulting agreements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23"/>
        </w:trPr>
        <w:tc>
          <w:tcPr>
            <w:tcW w:w="8400" w:type="dxa"/>
            <w:vAlign w:val="bottom"/>
          </w:tcPr>
          <w:p>
            <w:pPr>
              <w:ind w:left="40"/>
              <w:spacing w:after="0"/>
              <w:rPr>
                <w:sz w:val="20"/>
                <w:szCs w:val="20"/>
                <w:color w:val="auto"/>
              </w:rPr>
            </w:pPr>
            <w:r>
              <w:rPr>
                <w:rFonts w:ascii="Arial" w:cs="Arial" w:eastAsia="Arial" w:hAnsi="Arial"/>
                <w:sz w:val="18"/>
                <w:szCs w:val="18"/>
                <w:color w:val="auto"/>
              </w:rPr>
              <w:t>Technology license fees and all other</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134,700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426,800</w:t>
            </w: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Note 6. Accrued Expenses</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0" w:type="dxa"/>
            <w:vAlign w:val="bottom"/>
          </w:tcPr>
          <w:p>
            <w:pPr>
              <w:spacing w:after="0"/>
              <w:rPr>
                <w:sz w:val="20"/>
                <w:szCs w:val="20"/>
                <w:color w:val="auto"/>
              </w:rPr>
            </w:pPr>
            <w:r>
              <w:rPr>
                <w:rFonts w:ascii="Arial" w:cs="Arial" w:eastAsia="Arial" w:hAnsi="Arial"/>
                <w:sz w:val="18"/>
                <w:szCs w:val="18"/>
                <w:color w:val="auto"/>
              </w:rPr>
              <w:t>Accrued expenses are composed of the following at June 30, 2016 and March 31, 2016:</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8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318,000</w:t>
            </w:r>
          </w:p>
        </w:tc>
        <w:tc>
          <w:tcPr>
            <w:tcW w:w="0" w:type="dxa"/>
            <w:vAlign w:val="bottom"/>
          </w:tcPr>
          <w:p>
            <w:pPr>
              <w:spacing w:after="0"/>
              <w:rPr>
                <w:sz w:val="1"/>
                <w:szCs w:val="1"/>
                <w:color w:val="auto"/>
              </w:rPr>
            </w:pPr>
          </w:p>
        </w:tc>
      </w:tr>
      <w:tr>
        <w:trPr>
          <w:trHeight w:val="216"/>
        </w:trPr>
        <w:tc>
          <w:tcPr>
            <w:tcW w:w="8400" w:type="dxa"/>
            <w:vAlign w:val="bottom"/>
          </w:tcPr>
          <w:p>
            <w:pPr>
              <w:ind w:left="40"/>
              <w:spacing w:after="0"/>
              <w:rPr>
                <w:sz w:val="20"/>
                <w:szCs w:val="20"/>
                <w:color w:val="auto"/>
              </w:rPr>
            </w:pPr>
            <w:r>
              <w:rPr>
                <w:rFonts w:ascii="Arial" w:cs="Arial" w:eastAsia="Arial" w:hAnsi="Arial"/>
                <w:sz w:val="18"/>
                <w:szCs w:val="18"/>
                <w:color w:val="auto"/>
              </w:rPr>
              <w:t>Accrued AV-101 development expenses</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232,900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186,000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310,000</w:t>
            </w:r>
          </w:p>
        </w:tc>
        <w:tc>
          <w:tcPr>
            <w:tcW w:w="0" w:type="dxa"/>
            <w:vAlign w:val="bottom"/>
          </w:tcPr>
          <w:p>
            <w:pPr>
              <w:spacing w:after="0"/>
              <w:rPr>
                <w:sz w:val="1"/>
                <w:szCs w:val="1"/>
                <w:color w:val="auto"/>
              </w:rPr>
            </w:pPr>
          </w:p>
        </w:tc>
      </w:tr>
      <w:tr>
        <w:trPr>
          <w:trHeight w:val="223"/>
        </w:trPr>
        <w:tc>
          <w:tcPr>
            <w:tcW w:w="840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564,800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814,000</w:t>
            </w:r>
          </w:p>
        </w:tc>
        <w:tc>
          <w:tcPr>
            <w:tcW w:w="0" w:type="dxa"/>
            <w:vAlign w:val="bottom"/>
          </w:tcPr>
          <w:p>
            <w:pPr>
              <w:spacing w:after="0"/>
              <w:rPr>
                <w:sz w:val="1"/>
                <w:szCs w:val="1"/>
                <w:color w:val="auto"/>
              </w:rPr>
            </w:pPr>
          </w:p>
        </w:tc>
      </w:tr>
      <w:tr>
        <w:trPr>
          <w:trHeight w:val="21"/>
        </w:trPr>
        <w:tc>
          <w:tcPr>
            <w:tcW w:w="8400" w:type="dxa"/>
            <w:vAlign w:val="bottom"/>
            <w:vMerge w:val="restart"/>
          </w:tcPr>
          <w:p>
            <w:pPr>
              <w:ind w:left="556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4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unsecured promissory notes at June 30, 2016 and March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2016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3"/>
              </w:rPr>
              <w:t>March 31, 2016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9"/>
              </w:rPr>
              <w:t>Principal</w:t>
            </w:r>
          </w:p>
        </w:tc>
        <w:tc>
          <w:tcPr>
            <w:tcW w:w="10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Accrued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9"/>
              </w:rPr>
              <w:t>Principal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Accrued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5.75% Note payable to insurance premium</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financing company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105,900</w:t>
            </w: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7.0% Note payable to Progressive Medical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7.0% Notes payable - non-current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Total notes payable to unrelated parties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105,900</w:t>
            </w: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(105,900)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(105,900)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non-current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Between May 2015 and August 2015, we extinguished the outstanding balances of approximately $17.2 million of indebtedness, including all senior secured promissory notes, all except $85,100 principal of unsecured promissory notes, and a substantial portion of other indebtedness, and certain adjustments thereto, that were either due and payable or would have become due and payable prior to March 31, 2016, by converting all such indebtedness into shares of our Series B Preferred. Evaluating each note or debt class separately, we determined that the conversion of each of the notes or other debt instruments into Series B Preferred should be accounted for as an extinguishment of debt. Because the fair value of the Series B Preferred into which the debt instruments were converted in all cases exceeded the carrying value of the debt, we recorded an aggregate loss on extinguishment of debt of $26,700,200, in our fiscal year ended March 31, 2016, of which $25,050,900 was recorded in the quarter ended June 30, 2015, as reflected in the accompanying Consolidated Statement of Operations and Comprehensive Loss for that period.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5, 2016, we paid in full the $33,300 outstanding balance (principal and accrued but unpaid interest) of the promissory note previously issued to University of California at Davis.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13, 2016, we paid in full the $71,600 outstanding balance (principal and accrued but unpaid interest) of the promissory note we issued to Progressive Medical Research in August 2012.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we executed a promissory note in the face amount of $117,500 to finance certain insurance policy premiums. The note is payable in monthly installments of $12,100, including principal and interest, through March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April and May 2016, in self-placed private placement transactions, we sold to accredited investors an aggregate of $278,000 of units in our Series B Preferred Unit offering, which units consist of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We issued 39,714 shares of Series B Preferred and Series B Warrants to purchase 39,714 shares of our common stock. Through the termination of the Series B Preferred Unit offering in May 2016, we received an aggregate of $5,303,800 in cash proceeds from our self-placed private placement and sale of the Series B Preferred Units.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allocated the proceeds from the sale of the Series B Preferred Units during the quarter ended June 30, 2016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$4.20 per share, and its Conversion Price (or stated value) of $7.00 per share represents a deemed dividend to the purchasers of the Series B Preferred Units. Accordingly, we have recognized a deemed dividend in the aggregate amount of $111,100 in arriving at net loss attributable to common stockholders in the accompanying Condensed Consolidated Statement of Operations and Comprehensive Loss for the three months ended June 30, 2016.</w:t>
      </w:r>
    </w:p>
    <w:p>
      <w:pPr>
        <w:sectPr>
          <w:pgSz w:w="11900" w:h="16838" w:orient="portrait"/>
          <w:cols w:equalWidth="0" w:num="1">
            <w:col w:w="11420"/>
          </w:cols>
          <w:pgMar w:left="240" w:top="13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1700" w:type="dxa"/>
            <w:vAlign w:val="bottom"/>
            <w:gridSpan w:val="7"/>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w w:val="96"/>
              </w:rPr>
              <w:t>Unit Warrants</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Aggregate Allocation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20" w:type="dxa"/>
            <w:vAlign w:val="bottom"/>
            <w:gridSpan w:val="13"/>
          </w:tcPr>
          <w:p>
            <w:pPr>
              <w:jc w:val="right"/>
              <w:ind w:right="760"/>
              <w:spacing w:after="0"/>
              <w:rPr>
                <w:sz w:val="20"/>
                <w:szCs w:val="20"/>
                <w:color w:val="auto"/>
              </w:rPr>
            </w:pPr>
            <w:r>
              <w:rPr>
                <w:rFonts w:ascii="Arial" w:cs="Arial" w:eastAsia="Arial" w:hAnsi="Arial"/>
                <w:sz w:val="18"/>
                <w:szCs w:val="18"/>
                <w:b w:val="1"/>
                <w:bCs w:val="1"/>
                <w:color w:val="auto"/>
                <w:w w:val="95"/>
              </w:rPr>
              <w:t>Weighted Average Issuance Date Valuation Assumptions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Per</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5"/>
              </w:rPr>
              <w:t>of Proceeds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Risk</w:t>
            </w: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18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Based on Relative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b w:val="1"/>
                <w:bCs w:val="1"/>
                <w:color w:val="auto"/>
                <w:w w:val="96"/>
              </w:rPr>
              <w:t>Warrant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right="280"/>
              <w:spacing w:after="0" w:line="196" w:lineRule="exact"/>
              <w:rPr>
                <w:sz w:val="20"/>
                <w:szCs w:val="20"/>
                <w:color w:val="auto"/>
              </w:rPr>
            </w:pPr>
            <w:r>
              <w:rPr>
                <w:rFonts w:ascii="Arial" w:cs="Arial" w:eastAsia="Arial" w:hAnsi="Arial"/>
                <w:sz w:val="18"/>
                <w:szCs w:val="18"/>
                <w:b w:val="1"/>
                <w:bCs w:val="1"/>
                <w:color w:val="auto"/>
                <w:w w:val="90"/>
              </w:rPr>
              <w:t>free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w w:val="96"/>
              </w:rPr>
              <w:t>Fair</w:t>
            </w:r>
          </w:p>
        </w:tc>
        <w:tc>
          <w:tcPr>
            <w:tcW w:w="102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2"/>
              </w:rPr>
              <w:t>Fair Value</w:t>
            </w:r>
          </w:p>
        </w:tc>
        <w:tc>
          <w:tcPr>
            <w:tcW w:w="102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86"/>
              </w:rPr>
              <w:t>Proceeds</w:t>
            </w:r>
          </w:p>
        </w:tc>
        <w:tc>
          <w:tcPr>
            <w:tcW w:w="1740" w:type="dxa"/>
            <w:vAlign w:val="bottom"/>
            <w:tcBorders>
              <w:bottom w:val="single" w:sz="8" w:color="auto"/>
            </w:tcBorders>
            <w:gridSpan w:val="4"/>
          </w:tcPr>
          <w:p>
            <w:pPr>
              <w:jc w:val="center"/>
              <w:spacing w:after="0" w:line="196" w:lineRule="exact"/>
              <w:rPr>
                <w:sz w:val="20"/>
                <w:szCs w:val="20"/>
                <w:color w:val="auto"/>
              </w:rPr>
            </w:pPr>
            <w:r>
              <w:rPr>
                <w:rFonts w:ascii="Arial" w:cs="Arial" w:eastAsia="Arial" w:hAnsi="Arial"/>
                <w:sz w:val="18"/>
                <w:szCs w:val="18"/>
                <w:b w:val="1"/>
                <w:bCs w:val="1"/>
                <w:color w:val="auto"/>
                <w:w w:val="92"/>
              </w:rPr>
              <w:t>Fair Value of:</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Market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Dividend</w:t>
            </w:r>
          </w:p>
        </w:tc>
        <w:tc>
          <w:tcPr>
            <w:tcW w:w="60" w:type="dxa"/>
            <w:vAlign w:val="bottom"/>
          </w:tcPr>
          <w:p>
            <w:pPr>
              <w:spacing w:after="0"/>
              <w:rPr>
                <w:sz w:val="19"/>
                <w:szCs w:val="19"/>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 Unit</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 Unit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Unit</w:t>
            </w:r>
          </w:p>
        </w:tc>
        <w:tc>
          <w:tcPr>
            <w:tcW w:w="120" w:type="dxa"/>
            <w:vAlign w:val="bottom"/>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Unit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20" w:type="dxa"/>
            <w:vAlign w:val="bottom"/>
          </w:tcPr>
          <w:p>
            <w:pPr>
              <w:spacing w:after="0"/>
              <w:rPr>
                <w:sz w:val="20"/>
                <w:szCs w:val="20"/>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9"/>
              </w:rPr>
              <w:t>Term(Years)</w:t>
            </w:r>
          </w:p>
        </w:tc>
        <w:tc>
          <w:tcPr>
            <w:tcW w:w="18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Rate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Volatility</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Rate</w:t>
            </w:r>
          </w:p>
        </w:tc>
        <w:tc>
          <w:tcPr>
            <w:tcW w:w="60" w:type="dxa"/>
            <w:vAlign w:val="bottom"/>
          </w:tcPr>
          <w:p>
            <w:pPr>
              <w:spacing w:after="0"/>
              <w:rPr>
                <w:sz w:val="20"/>
                <w:szCs w:val="20"/>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Warrant</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Warrants</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Sales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Warrant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39,714</w:t>
            </w:r>
          </w:p>
        </w:tc>
        <w:tc>
          <w:tcPr>
            <w:tcW w:w="90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rPr>
              <w:t>$  8.45</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   7.00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  223,500</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  278,000</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$ 166,900</w:t>
            </w: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8"/>
              </w:rPr>
              <w:t>$  61,100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2016 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Effective on May 16, 2016, we consummated a fully underwritten public offering, pursuant to which we issued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We received gross proceeds of approximately $10.9 million and net proceeds of approximately $9.5 million from the May 2016 Public Offering after deducting underwriters’ commissions and other expenses. The warrants issued in the May 2016 Public Offering have no anti-dilution or other exercise price or share reset features, except as is customary with respect to a change in the Company’s capital structure in the event of a stock split or dividend, and, accordingly, we have accounted for them as equity warrants.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included in the May 2016 Public Offering Warrants were offered, issued and sold under a prospectus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pursuant to an effective registration statement (</w:t>
      </w:r>
      <w:r>
        <w:rPr>
          <w:rFonts w:ascii="Arial" w:cs="Arial" w:eastAsia="Arial" w:hAnsi="Arial"/>
          <w:sz w:val="18"/>
          <w:szCs w:val="18"/>
          <w:i w:val="1"/>
          <w:iCs w:val="1"/>
          <w:color w:val="auto"/>
        </w:rPr>
        <w:t>Registration Statement</w:t>
      </w:r>
      <w:r>
        <w:rPr>
          <w:rFonts w:ascii="Arial" w:cs="Arial" w:eastAsia="Arial" w:hAnsi="Arial"/>
          <w:sz w:val="18"/>
          <w:szCs w:val="18"/>
          <w:color w:val="auto"/>
        </w:rPr>
        <w:t>) filed with the SEC on Form S-1 (File No. 333-210152) pursuant to the Securities Act of 1933, as amended (</w:t>
      </w:r>
      <w:r>
        <w:rPr>
          <w:rFonts w:ascii="Arial" w:cs="Arial" w:eastAsia="Arial" w:hAnsi="Arial"/>
          <w:sz w:val="18"/>
          <w:szCs w:val="18"/>
          <w:i w:val="1"/>
          <w:iCs w:val="1"/>
          <w:color w:val="auto"/>
        </w:rPr>
        <w:t>Securities Act</w:t>
      </w:r>
      <w:r>
        <w:rPr>
          <w:rFonts w:ascii="Arial" w:cs="Arial" w:eastAsia="Arial" w:hAnsi="Arial"/>
          <w:sz w:val="18"/>
          <w:szCs w:val="18"/>
          <w:color w:val="auto"/>
        </w:rPr>
        <w:t>). The Registration Statement was first filed with the SEC on March 14, 2016, and was declared effective on May 10,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Uplisting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completion of our May 2016 Public Offering, our common stock was approved for listing on The NASDAQ Capital Market, and began trading under the symbol “VTGN” on May 11,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April 2016, prior to the May 2016 Public Offering, holders of an aggregate of 7,500 shares of Series B Preferred voluntarily converted such shares into an equivalent number of registered shares of our common stock. In connection with such conversions, we issued an aggregate of 510 shares of our unregistered common stock in payment of $4,000 in accrued dividends on the Series B Preferred converted.</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19, 2016, upon the consummation of the May 2016 Public Offering,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in payment of $1,642,100 in accrued dividends, at the rate of one share of common stock for each $3.94 of accrued dividends. On June 15, 2016, pursuant to the underwriters’ exercise of their over-allotment option, an additional 44,500 shares of Series B Preferred were converted into 44,500 shares of our registered common stock. We issued an additional 9,580 shares of our unregistered common stock in payment of $37,400 in accrued dividends, at the rate of one share of common stock for each $3.90 in accrued dividends.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Between April 1, 2016 and May 4, 2016, we entered into Warrant Exchange Agreements with certain holders of outstanding warrants to purchase an aggregate of 41,469 shares of our common stock pursuant to which the holders agreed to the cancellation of such warrants in exchange for our issuance to them of an aggregate of 31,238 shares of our unregistered common stock.</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accounted for the exchange of these warrants as warrant modifications, comparing their fair value prior to the exchange with the fair value of the common stock issued. We calculated the weighted average fair value of the warrants prior to the exchange to be $5.37 per share, or $223,700, using the Black Scholes Option Pricing Model and the following weighted average assumptions: market price per share: $8.44; exercise price per share: $7.37; risk-free interest rate: 1.23%; remaining contractual term: 4.77 years; volatility: 79.0%; expected dividend rate: 0%. The weighted average fair value of the aggregate of 31,238 shares of common stock issued in the exchange was $8.45 per share or $264,000. Accordingly, we recognized the additional fair value, $40,300, as warrant modification expense, included as a component of general and administrative expenses in the accompanying Condensed Consolidated Statement of Operations and Comprehensive Loss for the three months ended June 30, 2016.</w:t>
      </w:r>
    </w:p>
    <w:p>
      <w:pPr>
        <w:sectPr>
          <w:pgSz w:w="11900" w:h="16838" w:orient="portrait"/>
          <w:cols w:equalWidth="0" w:num="1">
            <w:col w:w="11420"/>
          </w:cols>
          <w:pgMar w:left="240" w:top="11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Following the warrant issuances in the May 2016 Public Offering, the Series B Warrant issuances and the warrant exchanges described above, at June 30, 2016, we had outstanding warrants to purchase shares of our unregistered common stock at a weighted average exercise price of $6.48 per share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6"/>
              </w:rPr>
              <w:t>Exercise</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0"/>
              </w:rPr>
              <w:t>Price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1"/>
              </w:rPr>
              <w:t>per Share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3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3480" w:type="dxa"/>
            <w:vAlign w:val="bottom"/>
            <w:gridSpan w:val="2"/>
            <w:shd w:val="clear" w:color="auto" w:fill="CCEEFF"/>
          </w:tcPr>
          <w:p>
            <w:pPr>
              <w:jc w:val="right"/>
              <w:ind w:right="1820"/>
              <w:spacing w:after="0"/>
              <w:rPr>
                <w:sz w:val="20"/>
                <w:szCs w:val="20"/>
                <w:color w:val="auto"/>
              </w:rPr>
            </w:pPr>
            <w:r>
              <w:rPr>
                <w:rFonts w:ascii="Arial" w:cs="Arial" w:eastAsia="Arial" w:hAnsi="Arial"/>
                <w:sz w:val="18"/>
                <w:szCs w:val="18"/>
                <w:color w:val="auto"/>
              </w:rPr>
              <w:t>5.30</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5/16/2021</w:t>
            </w:r>
          </w:p>
        </w:tc>
        <w:tc>
          <w:tcPr>
            <w:tcW w:w="3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3480" w:type="dxa"/>
            <w:vAlign w:val="bottom"/>
            <w:gridSpan w:val="2"/>
          </w:tcPr>
          <w:p>
            <w:pPr>
              <w:jc w:val="right"/>
              <w:ind w:right="1820"/>
              <w:spacing w:after="0"/>
              <w:rPr>
                <w:sz w:val="20"/>
                <w:szCs w:val="20"/>
                <w:color w:val="auto"/>
              </w:rPr>
            </w:pPr>
            <w:r>
              <w:rPr>
                <w:rFonts w:ascii="Arial" w:cs="Arial" w:eastAsia="Arial" w:hAnsi="Arial"/>
                <w:sz w:val="18"/>
                <w:szCs w:val="18"/>
                <w:color w:val="auto"/>
              </w:rPr>
              <w:t>7.00</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12/11/2018 to 3/3/2023</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1,417,125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3480" w:type="dxa"/>
            <w:vAlign w:val="bottom"/>
            <w:gridSpan w:val="2"/>
            <w:shd w:val="clear" w:color="auto" w:fill="CCEEFF"/>
          </w:tcPr>
          <w:p>
            <w:pPr>
              <w:jc w:val="right"/>
              <w:ind w:right="1820"/>
              <w:spacing w:after="0"/>
              <w:rPr>
                <w:sz w:val="20"/>
                <w:szCs w:val="20"/>
                <w:color w:val="auto"/>
              </w:rPr>
            </w:pPr>
            <w:r>
              <w:rPr>
                <w:rFonts w:ascii="Arial" w:cs="Arial" w:eastAsia="Arial" w:hAnsi="Arial"/>
                <w:sz w:val="18"/>
                <w:szCs w:val="18"/>
                <w:color w:val="auto"/>
              </w:rPr>
              <w:t>8.00</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3/25/2021</w:t>
            </w:r>
          </w:p>
        </w:tc>
        <w:tc>
          <w:tcPr>
            <w:tcW w:w="3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10.00</w:t>
            </w:r>
          </w:p>
        </w:tc>
        <w:tc>
          <w:tcPr>
            <w:tcW w:w="18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8/31/2016 to 1/11/2020</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135,384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8/31/2016</w:t>
            </w:r>
          </w:p>
        </w:tc>
        <w:tc>
          <w:tcPr>
            <w:tcW w:w="3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20.00</w:t>
            </w:r>
          </w:p>
        </w:tc>
        <w:tc>
          <w:tcPr>
            <w:tcW w:w="18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9/15/2019</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110,448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11/20/2017</w:t>
            </w:r>
          </w:p>
        </w:tc>
        <w:tc>
          <w:tcPr>
            <w:tcW w:w="3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and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engaged with us for the development of AV-101, is one of our largest institutional stockholders at June 30, 2016, holding approximately 7% of our outstanding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6"/>
          <w:szCs w:val="16"/>
          <w:i w:val="1"/>
          <w:iCs w:val="1"/>
          <w:color w:val="auto"/>
        </w:rPr>
        <w:t>2012</w:t>
      </w:r>
      <w:r>
        <w:rPr>
          <w:rFonts w:ascii="Arial" w:cs="Arial" w:eastAsia="Arial" w:hAnsi="Arial"/>
          <w:sz w:val="16"/>
          <w:szCs w:val="16"/>
          <w:color w:val="auto"/>
        </w:rPr>
        <w:t xml:space="preserve"> </w:t>
      </w:r>
      <w:r>
        <w:rPr>
          <w:rFonts w:ascii="Arial" w:cs="Arial" w:eastAsia="Arial" w:hAnsi="Arial"/>
          <w:sz w:val="16"/>
          <w:szCs w:val="16"/>
          <w:i w:val="1"/>
          <w:iCs w:val="1"/>
          <w:color w:val="auto"/>
        </w:rPr>
        <w:t>CHC Note</w:t>
      </w:r>
      <w:r>
        <w:rPr>
          <w:rFonts w:ascii="Arial" w:cs="Arial" w:eastAsia="Arial" w:hAnsi="Arial"/>
          <w:sz w:val="16"/>
          <w:szCs w:val="16"/>
          <w:color w:val="auto"/>
        </w:rPr>
        <w:t>) and a five-year warrant to purchase 12,500 restricted shares of our common stock at a price of $30.00 per share (the</w:t>
      </w:r>
      <w:r>
        <w:rPr>
          <w:rFonts w:ascii="Arial" w:cs="Arial" w:eastAsia="Arial" w:hAnsi="Arial"/>
          <w:sz w:val="16"/>
          <w:szCs w:val="16"/>
          <w:i w:val="1"/>
          <w:iCs w:val="1"/>
          <w:color w:val="auto"/>
        </w:rPr>
        <w:t xml:space="preserve"> CHC Warrant</w:t>
      </w:r>
      <w:r>
        <w:rPr>
          <w:rFonts w:ascii="Arial" w:cs="Arial" w:eastAsia="Arial" w:hAnsi="Arial"/>
          <w:sz w:val="16"/>
          <w:szCs w:val="16"/>
          <w:color w:val="auto"/>
        </w:rPr>
        <w:t>). Additionally,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October 10, 2012, we issued to CRL: (i) an unsecured promissory note in the initial principal amount of $1,009,000, payable solely in restricted shares of our common stock and which accrued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such number of shares to be adjusted in relation to accrued interest on the CRL Note (</w:t>
      </w:r>
      <w:r>
        <w:rPr>
          <w:rFonts w:ascii="Arial" w:cs="Arial" w:eastAsia="Arial" w:hAnsi="Arial"/>
          <w:sz w:val="16"/>
          <w:szCs w:val="16"/>
          <w:i w:val="1"/>
          <w:iCs w:val="1"/>
          <w:color w:val="auto"/>
        </w:rPr>
        <w:t>CRL Warrant</w:t>
      </w:r>
      <w:r>
        <w:rPr>
          <w:rFonts w:ascii="Arial" w:cs="Arial" w:eastAsia="Arial" w:hAnsi="Arial"/>
          <w:sz w:val="16"/>
          <w:szCs w:val="16"/>
          <w:color w:val="auto"/>
        </w:rPr>
        <w:t>). The Cato Notes and additional amounts payable to CRL for CRO services were extinguished in June 2015 in exchange for our issuance of an aggregate of 328,571 shares of Series B Preferred to CHC, which shares of Series B Preferred were automatically converted into an equal number of registered shares of our common stock in connection with the May 2016 Public Offering. CHC also participated in our February 2016 warrant exchange, exchanging the CHC Warrant and the CRL Warrant, as adjusted to reflect accrued interest, for an aggregate of 54,894 shares of our unregistered common stock.</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VistaGen California’s contract research organization arrangement with CRL related to the development of AV-101, we incurred expenses of $50,400 and $11,200 for the three month periods ended June 30, 2016 and 2015, respectively. Total interest expense, including amortization of note discount, on the notes payable to CHC and CRL was $28,200 for the three month period ended June 30,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the date of this report and have found no material matters requiring disclosure.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(Quarterly Report) includes forward-looking statements. All statements contained in this Quarterly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Quarterly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lead product candidate, AV-101, is a new generation, oral antidepressant drug candidate in Phase 2 development for the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We believe AV-101 may also have therapeutic potential in chronic neuropathic pain, epilepsy, Huntington’s disease and Parkinson’s disease.</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used to augment standard antidepressant therapy.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Phase 2a clinical study of AV-101 in subjects with treatment-resistant MDD is being conducted and fully funded by the U.S. National Institute of Mental Health (</w:t>
      </w:r>
      <w:r>
        <w:rPr>
          <w:rFonts w:ascii="Arial" w:cs="Arial" w:eastAsia="Arial" w:hAnsi="Arial"/>
          <w:sz w:val="17"/>
          <w:szCs w:val="17"/>
          <w:i w:val="1"/>
          <w:iCs w:val="1"/>
          <w:color w:val="auto"/>
        </w:rPr>
        <w:t>NIMH</w:t>
      </w:r>
      <w:r>
        <w:rPr>
          <w:rFonts w:ascii="Arial" w:cs="Arial" w:eastAsia="Arial" w:hAnsi="Arial"/>
          <w:sz w:val="17"/>
          <w:szCs w:val="17"/>
          <w:color w:val="auto"/>
        </w:rPr>
        <w:t>) under our February 2015 Cooperative Research and Development Agreement (</w:t>
      </w:r>
      <w:r>
        <w:rPr>
          <w:rFonts w:ascii="Arial" w:cs="Arial" w:eastAsia="Arial" w:hAnsi="Arial"/>
          <w:sz w:val="17"/>
          <w:szCs w:val="17"/>
          <w:i w:val="1"/>
          <w:iCs w:val="1"/>
          <w:color w:val="auto"/>
        </w:rPr>
        <w:t>CRADA</w:t>
      </w:r>
      <w:r>
        <w:rPr>
          <w:rFonts w:ascii="Arial" w:cs="Arial" w:eastAsia="Arial" w:hAnsi="Arial"/>
          <w:sz w:val="17"/>
          <w:szCs w:val="17"/>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antidepressant effects of low dose, intravenous (</w:t>
      </w:r>
      <w:r>
        <w:rPr>
          <w:rFonts w:ascii="Arial" w:cs="Arial" w:eastAsia="Arial" w:hAnsi="Arial"/>
          <w:sz w:val="17"/>
          <w:szCs w:val="17"/>
          <w:i w:val="1"/>
          <w:iCs w:val="1"/>
          <w:color w:val="auto"/>
        </w:rPr>
        <w:t>I.V.</w:t>
      </w:r>
      <w:r>
        <w:rPr>
          <w:rFonts w:ascii="Arial" w:cs="Arial" w:eastAsia="Arial" w:hAnsi="Arial"/>
          <w:sz w:val="17"/>
          <w:szCs w:val="17"/>
          <w:color w:val="auto"/>
        </w:rPr>
        <w:t>) ketamine in patients with treatment-resistant depression. These NIMH studies, as well as clinical research by others, have demonstrated robust antidepressant effects in patients with treatment-resistant MDD within twenty-four hours of a single low dose of I.V. ketamine. We believe AV-101 may have potential to deliver ketamine-like fast-acting antidepressant effects without ketamine’s serious side effects.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preparing to launch our Phase 2b clinical study of AV-101 for the adjunctive treatment of MDD in patients with an inadequate response to standard, FDA-approved antidepressants. We anticipate commencement of this multi-center, multi-dose, double blind, placebo-controlled Phase 2b efficacy and safety study at the end of the fourth quarter of 2016. Dr. Maurizio Fava, Professor of Psychiatry at Harvard Medical School and Director, Division of Clinical Research, Massachusetts General Hospital (</w:t>
      </w:r>
      <w:r>
        <w:rPr>
          <w:rFonts w:ascii="Arial" w:cs="Arial" w:eastAsia="Arial" w:hAnsi="Arial"/>
          <w:sz w:val="17"/>
          <w:szCs w:val="17"/>
          <w:i w:val="1"/>
          <w:iCs w:val="1"/>
          <w:color w:val="auto"/>
        </w:rPr>
        <w:t>MGH</w:t>
      </w:r>
      <w:r>
        <w:rPr>
          <w:rFonts w:ascii="Arial" w:cs="Arial" w:eastAsia="Arial" w:hAnsi="Arial"/>
          <w:sz w:val="17"/>
          <w:szCs w:val="17"/>
          <w:color w:val="auto"/>
        </w:rPr>
        <w:t>) Research Institute, will be the Principal Investigator of our Phase 2b study of AV-101 in treatment-resistant MDD. Dr. Fava was the co-Principal Investigator with Dr. A. John Rush of the largest clinical trial conducted in depression to date, the STAR*D study, whose findings were published in journals such the New England Journal of Medicine (</w:t>
      </w:r>
      <w:r>
        <w:rPr>
          <w:rFonts w:ascii="Arial" w:cs="Arial" w:eastAsia="Arial" w:hAnsi="Arial"/>
          <w:sz w:val="17"/>
          <w:szCs w:val="17"/>
          <w:i w:val="1"/>
          <w:iCs w:val="1"/>
          <w:color w:val="auto"/>
        </w:rPr>
        <w:t>NEJM</w:t>
      </w:r>
      <w:r>
        <w:rPr>
          <w:rFonts w:ascii="Arial" w:cs="Arial" w:eastAsia="Arial" w:hAnsi="Arial"/>
          <w:sz w:val="17"/>
          <w:szCs w:val="17"/>
          <w:color w:val="auto"/>
        </w:rPr>
        <w:t>) and the Journal of the American Medical Association (</w:t>
      </w:r>
      <w:r>
        <w:rPr>
          <w:rFonts w:ascii="Arial" w:cs="Arial" w:eastAsia="Arial" w:hAnsi="Arial"/>
          <w:sz w:val="17"/>
          <w:szCs w:val="17"/>
          <w:i w:val="1"/>
          <w:iCs w:val="1"/>
          <w:color w:val="auto"/>
        </w:rPr>
        <w:t>JAMA</w:t>
      </w:r>
      <w:r>
        <w:rPr>
          <w:rFonts w:ascii="Arial" w:cs="Arial" w:eastAsia="Arial" w:hAnsi="Arial"/>
          <w:sz w:val="17"/>
          <w:szCs w:val="17"/>
          <w:color w:val="auto"/>
        </w:rPr>
        <w:t>). We currently anticipate top line results in this Phase 2b study in the second quarter of 2018.</w:t>
      </w:r>
    </w:p>
    <w:p>
      <w:pPr>
        <w:sectPr>
          <w:pgSz w:w="11900" w:h="16838" w:orient="portrait"/>
          <w:cols w:equalWidth="0" w:num="1">
            <w:col w:w="11420"/>
          </w:cols>
          <w:pgMar w:left="240" w:top="130"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clinical development of AV-101, we are focused on advancing potential commercial applications of our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technology platform with respect to drug rescue programs aimed at developing proprietary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drug candidate pipeline. We are also focused on potential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applications using blood, cartilage, heart and/or liver cells derived from hPSCs, and may pursue these applications in collaboration with third-parties.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World Health Organization (</w:t>
      </w:r>
      <w:r>
        <w:rPr>
          <w:rFonts w:ascii="Arial" w:cs="Arial" w:eastAsia="Arial" w:hAnsi="Arial"/>
          <w:sz w:val="17"/>
          <w:szCs w:val="17"/>
          <w:i w:val="1"/>
          <w:iCs w:val="1"/>
          <w:color w:val="auto"/>
        </w:rPr>
        <w:t>WHO</w:t>
      </w:r>
      <w:r>
        <w:rPr>
          <w:rFonts w:ascii="Arial" w:cs="Arial" w:eastAsia="Arial" w:hAnsi="Arial"/>
          <w:sz w:val="17"/>
          <w:szCs w:val="17"/>
          <w:color w:val="auto"/>
        </w:rPr>
        <w:t>) estimates that 350 million people worldwide are affected by depression. According to the U.S. National Institutes of Health (</w:t>
      </w:r>
      <w:r>
        <w:rPr>
          <w:rFonts w:ascii="Arial" w:cs="Arial" w:eastAsia="Arial" w:hAnsi="Arial"/>
          <w:sz w:val="17"/>
          <w:szCs w:val="17"/>
          <w:i w:val="1"/>
          <w:iCs w:val="1"/>
          <w:color w:val="auto"/>
        </w:rPr>
        <w:t>NIH</w:t>
      </w:r>
      <w:r>
        <w:rPr>
          <w:rFonts w:ascii="Arial" w:cs="Arial" w:eastAsia="Arial" w:hAnsi="Arial"/>
          <w:sz w:val="17"/>
          <w:szCs w:val="17"/>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7"/>
          <w:szCs w:val="17"/>
          <w:i w:val="1"/>
          <w:iCs w:val="1"/>
          <w:color w:val="auto"/>
        </w:rPr>
        <w:t>CDC</w:t>
      </w:r>
      <w:r>
        <w:rPr>
          <w:rFonts w:ascii="Arial" w:cs="Arial" w:eastAsia="Arial" w:hAnsi="Arial"/>
          <w:sz w:val="17"/>
          <w:szCs w:val="17"/>
          <w:color w:val="auto"/>
        </w:rPr>
        <w:t>) one in 10 Americans over the age of 12 takes an antidepressant medication.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standard, FDA-approved antidepressants target neurotransmitter reuptake inhibition – either serotonin (</w:t>
      </w:r>
      <w:r>
        <w:rPr>
          <w:rFonts w:ascii="Arial" w:cs="Arial" w:eastAsia="Arial" w:hAnsi="Arial"/>
          <w:sz w:val="17"/>
          <w:szCs w:val="17"/>
          <w:i w:val="1"/>
          <w:iCs w:val="1"/>
          <w:color w:val="auto"/>
        </w:rPr>
        <w:t>SSRIs</w:t>
      </w:r>
      <w:r>
        <w:rPr>
          <w:rFonts w:ascii="Arial" w:cs="Arial" w:eastAsia="Arial" w:hAnsi="Arial"/>
          <w:sz w:val="17"/>
          <w:szCs w:val="17"/>
          <w:color w:val="auto"/>
        </w:rPr>
        <w:t>) or serotonin/norepinephrine (</w:t>
      </w:r>
      <w:r>
        <w:rPr>
          <w:rFonts w:ascii="Arial" w:cs="Arial" w:eastAsia="Arial" w:hAnsi="Arial"/>
          <w:sz w:val="17"/>
          <w:szCs w:val="17"/>
          <w:i w:val="1"/>
          <w:iCs w:val="1"/>
          <w:color w:val="auto"/>
        </w:rPr>
        <w:t>SNRIs</w:t>
      </w:r>
      <w:r>
        <w:rPr>
          <w:rFonts w:ascii="Arial" w:cs="Arial" w:eastAsia="Arial" w:hAnsi="Arial"/>
          <w:sz w:val="17"/>
          <w:szCs w:val="17"/>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do not achieve adequate therapeutic benefits. Such treatment-resistant depression patients often seek to treat their depression with non-drug-related approaches, such as Electroconvulsive Therapy (ECT), or to augment their inadequate response to standard antidepressants by adding an atypical antipsychotic (such as, for example, aripiprazole) to their treatment regimen, despite the modest potential therapeutic benefit and significant risk of additional side effects from such augmentation options.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standard antidepressants have risks of significant side effects, including, among others, potentially anxiety, metabolic syndrome, sleep disturbance and sexual dysfunction. They also have a “Black Box” warning due to risks of worsening depression and suicide in certain groups.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 Use of ECT increases the risk of serious side effects, including, headaches, tiredness, disorientation, intense sleepiness, hallucinations and long-term memory loss.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AV-101, our oral new generation antidepressant 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7"/>
          <w:szCs w:val="17"/>
          <w:i w:val="1"/>
          <w:iCs w:val="1"/>
          <w:color w:val="auto"/>
        </w:rPr>
        <w:t>Journal of Pharmacology and Experimental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Therapeutics, </w:t>
      </w:r>
      <w:r>
        <w:rPr>
          <w:rFonts w:ascii="Arial" w:cs="Arial" w:eastAsia="Arial" w:hAnsi="Arial"/>
          <w:sz w:val="17"/>
          <w:szCs w:val="17"/>
          <w:color w:val="auto"/>
        </w:rPr>
        <w:t>in an article entitled,</w:t>
      </w:r>
      <w:r>
        <w:rPr>
          <w:rFonts w:ascii="Arial" w:cs="Arial" w:eastAsia="Arial" w:hAnsi="Arial"/>
          <w:sz w:val="17"/>
          <w:szCs w:val="17"/>
          <w:i w:val="1"/>
          <w:iCs w:val="1"/>
          <w:color w:val="auto"/>
        </w:rPr>
        <w:t xml:space="preserve"> The prodrug 4-chlorokynurenine causes ketamine-like antidepressant effects, but not side effects, by NMDA/glycineB-site inhibition, </w:t>
      </w:r>
      <w:r>
        <w:rPr>
          <w:rFonts w:ascii="Arial" w:cs="Arial" w:eastAsia="Arial" w:hAnsi="Arial"/>
          <w:sz w:val="17"/>
          <w:szCs w:val="17"/>
          <w:color w:val="auto"/>
        </w:rPr>
        <w:t>using well-established preclinical models of depression, AV-101 was shown to induce fast-acting, dose-dependent, persistent and statistically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significant antidepressant-like responses, following a single treatment. These responses were equivalent to those seen with a single, sub-anesthetic control dose of the NMDAR antagonist ketamine. In the same preclinical studies, a standard antidepressant, the SSRI fluoxetine, did not induce rapid onset antidepressant-like responses. In addition, these studies confirmed that the fast-acting antidepressive effects of AV-101 were mediated through the GlyB site and involved the activation of a key neurological pathway, the alpha-amino-3-hydroxy-5-methyl-4-isoxazolepropionic acid </w:t>
      </w:r>
      <w:r>
        <w:rPr>
          <w:rFonts w:ascii="Arial" w:cs="Arial" w:eastAsia="Arial" w:hAnsi="Arial"/>
          <w:sz w:val="17"/>
          <w:szCs w:val="17"/>
          <w:b w:val="1"/>
          <w:bCs w:val="1"/>
          <w:color w:val="auto"/>
        </w:rPr>
        <w:t>(</w:t>
      </w:r>
      <w:r>
        <w:rPr>
          <w:rFonts w:ascii="Arial" w:cs="Arial" w:eastAsia="Arial" w:hAnsi="Arial"/>
          <w:sz w:val="17"/>
          <w:szCs w:val="17"/>
          <w:i w:val="1"/>
          <w:iCs w:val="1"/>
          <w:color w:val="auto"/>
        </w:rPr>
        <w:t>AMPA</w:t>
      </w:r>
      <w:r>
        <w:rPr>
          <w:rFonts w:ascii="Arial" w:cs="Arial" w:eastAsia="Arial" w:hAnsi="Arial"/>
          <w:sz w:val="17"/>
          <w:szCs w:val="17"/>
          <w:color w:val="auto"/>
        </w:rPr>
        <w:t>) receptor pathway. Activation of the AMPA receptor pathway is a common feature of fast-acting antidepressants.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Following the completion of our NIH-funded, randomized, double blind, placebo-controlled Phase 1a and Phase 1b safety studies, we are now collaborating with the NIMH in a Phase 2a study. Under our February 2015 CRADA, the NIMH is funding, and Dr. Carlos Zarate Jr. of the NIMH as Principal Investigator is conducting, our ongoing Phase 2a efficacy and safety study of AV-101 in subjects with treatment-resistant MDD. The trial is expected to enroll 20 to 28 patients. The first patient was dosed in November 2015, and we currently anticipate receiving topline results in the second quarter of 2017.</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preparing to launch our Phase 2b clinical study of AV-101 for the adjunctive treatment of MDD in patients with an inadequate response to standard, FDA-approved antidepressants. We anticipate the launch of this Phase 2b study, with Dr. Maurizio Fava of Harvard Medical School serving as Principal Investigator, at the end of the fourth quarter of 2016. We anticipate top line results from this Phase 2b study in the second quarter of 2018.</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Several preclinical studies support the hypothesis that AV-101 also has the potential to treat multiple CNS disorders and neurodegenerative diseases in addition to depression, including chronic neuropathic pain, epilepsy, Parkinson’s disease and Huntington’s disease, where modulation of the NMDAR, AMPA pathway and/or active metabolites of AV-101 may achieve therapeutic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long before they are ever tested in animal and human studies. Our current strategic interests involving our stem cell technology platform include (i) advancing current internal efforts focused 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drug rescue to expand our drug candidate pipeline with selected proprietary small molecule NCEs, leveraging substantial prior research and development investments by pharmaceutical companies and others related to public domain NCEs terminated before FDA approval due to heart toxicity risks and (ii) establishing collaborative arrangements with qualified third-parties focused on regenerative medicine (RM) applications, including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involving hPSC-derived blood, bone, cartilage, heart and/or liver cells.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2016, as filed with the SEC on June 24, 2016, and in Note 3 to the accompanying unaudited Condensed Consolidated Financial Statements included in Part 1, Item 1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yet achieved revenue-generating status from any of our product candidates. Since inception, we have devoted substantially all of our time and efforts to developing AV-101 from early preclinical studies to our ongoing Phase 2a clinical study in MDD, as well as stem cell research and bioassay development, small molecule drug development, and creating, protecting and patenting intellectual property, with the corollary initiatives of recruiting personnel and raising working capital. As of June 30, 2016, we had an accumulated deficit of approximately $133.7 million. Our net loss for the quarter ended June 30, 2016 was approximately $2.0 million. Our net loss for the quarter ended June 30, 2015 was $29.5 million, including a non-recurring, non-cash loss of approximately $25.1 million attributable to converting over $15.4 million of our indebtedness into equity securities during May and June 2015. We expect losses to continue for the foreseeable future, primarily related to our further development of AV-101 for MDD and additional CNS indications.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Three Months Ended June 30, 2016</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quarter ended June 30, 2016, we have continued to advance clinical development of AV-101 for depression and other CNS indications and, on a more limited basis, explore drug rescue and regenerative medicine opportunities related to our stem cell technology platform. Pursuant to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NIH, the NIH continues to fund and conduct a Phase 2a clinical study of AV-101 in treatment-resistant MDD. We are preparing to launch a Phase 2b clinical study of AV-101 for the adjunctive treatment of MDD in patients with an inadequate response to standard, FDA-approved antidepressants (</w:t>
      </w:r>
      <w:r>
        <w:rPr>
          <w:rFonts w:ascii="Arial" w:cs="Arial" w:eastAsia="Arial" w:hAnsi="Arial"/>
          <w:sz w:val="16"/>
          <w:szCs w:val="16"/>
          <w:i w:val="1"/>
          <w:iCs w:val="1"/>
          <w:color w:val="auto"/>
        </w:rPr>
        <w:t>Phase 2b Study</w:t>
      </w:r>
      <w:r>
        <w:rPr>
          <w:rFonts w:ascii="Arial" w:cs="Arial" w:eastAsia="Arial" w:hAnsi="Arial"/>
          <w:sz w:val="16"/>
          <w:szCs w:val="16"/>
          <w:color w:val="auto"/>
        </w:rPr>
        <w:t>). Following the enabling consummation of the May 2016 Public Offering (described below), we anticipate the launch of the Phase 2b Study, with Dr. Maurizio Fava of Harvard Medical School serving as Principal Investigator, at the end of the fourth calendar quarter of 2016. In May 2016, we consummated a fully underwritten public offering, pursuant to which we issued an aggregate of 2,570,040 registered shares of our common stock and five-year warrants exercisable at $5.30 per share to purchase an aggregate of 2,705,883 shares of our common stock and received net proceeds, after deducting underwriters’ commissions and other expenses, of approximately $9.5 million (</w:t>
      </w:r>
      <w:r>
        <w:rPr>
          <w:rFonts w:ascii="Arial" w:cs="Arial" w:eastAsia="Arial" w:hAnsi="Arial"/>
          <w:sz w:val="16"/>
          <w:szCs w:val="16"/>
          <w:i w:val="1"/>
          <w:iCs w:val="1"/>
          <w:color w:val="auto"/>
        </w:rPr>
        <w:t>May 2016 Public</w:t>
      </w:r>
      <w:r>
        <w:rPr>
          <w:rFonts w:ascii="Arial" w:cs="Arial" w:eastAsia="Arial" w:hAnsi="Arial"/>
          <w:sz w:val="16"/>
          <w:szCs w:val="16"/>
          <w:color w:val="auto"/>
        </w:rPr>
        <w:t xml:space="preserve"> </w:t>
      </w:r>
      <w:r>
        <w:rPr>
          <w:rFonts w:ascii="Arial" w:cs="Arial" w:eastAsia="Arial" w:hAnsi="Arial"/>
          <w:sz w:val="16"/>
          <w:szCs w:val="16"/>
          <w:i w:val="1"/>
          <w:iCs w:val="1"/>
          <w:color w:val="auto"/>
        </w:rPr>
        <w:t>Offering</w:t>
      </w:r>
      <w:r>
        <w:rPr>
          <w:rFonts w:ascii="Arial" w:cs="Arial" w:eastAsia="Arial" w:hAnsi="Arial"/>
          <w:sz w:val="16"/>
          <w:szCs w:val="16"/>
          <w:color w:val="auto"/>
        </w:rPr>
        <w:t>). While we expect the proceeds from the May 2016 Public Offering to provide sufficient cash to sustain our operations through our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ending March 31, 2017 and to enable advance preparations for and commencement of our Phase 2b Study, they will not be adequate to enable the completion of our Phase 2b Study. Accordingly, our executive management continues to focus significant efforts on raising additional capital to complete the Phase 2b Study and for other operational requirements through sales of our securities, which may include both debt and equity securities, or from other sources.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further significant accomplishment during the quarter ended June 30, 2016, is the June 2016 addition to our management team of Mark A. Smith, MD, Ph.D., as our Chief Medical Officer. Dr. Smith has over 20 years of pharmaceutical industry experience CNS drug development. He has been a successful project leader in both drug discovery and development on projects resulting in approximately 20 investigational new drugs (INDs). Dr. Smith has directed clinical trials examining depression, bipolar disorder, anxiety, schizophrenia, Alzheimer’s disease, ADHD and agitation in Phase 1 through Phase 2b. In addition, Dr. Smith has vast knowledge and expertise in translational neuroscience, clinical trial design and regulatory interactions.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matter of course, we attempt to minimize to the greatest extent possible cash commitments and expenditures for both internal and external research and development and general and administrative services. To further advance the clinical development of AV-101 and our stem cell technology platform, as well as support our operating activities, we will continue to carefully manage our routine operating costs, including our internal employee related expenses, as well as external costs relating to regulatory consulting, contract research and development, investor relations and corporate development, legal, accounting, public company compliance and other professional services and working capital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2016 and 2015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taxes</w:t>
            </w: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(1,967)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jc w:val="right"/>
              <w:ind w:right="2550"/>
              <w:spacing w:after="0"/>
              <w:rPr>
                <w:sz w:val="20"/>
                <w:szCs w:val="20"/>
                <w:color w:val="auto"/>
              </w:rPr>
            </w:pPr>
            <w:r>
              <w:rPr>
                <w:rFonts w:ascii="Arial" w:cs="Arial" w:eastAsia="Arial" w:hAnsi="Arial"/>
                <w:sz w:val="18"/>
                <w:szCs w:val="18"/>
                <w:color w:val="auto"/>
                <w:w w:val="95"/>
              </w:rPr>
              <w:t>Accrued dividend on Series B Preferred Stock</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jc w:val="right"/>
              <w:ind w:right="2550"/>
              <w:spacing w:after="0"/>
              <w:rPr>
                <w:sz w:val="20"/>
                <w:szCs w:val="20"/>
                <w:color w:val="auto"/>
              </w:rPr>
            </w:pPr>
            <w:r>
              <w:rPr>
                <w:rFonts w:ascii="Arial" w:cs="Arial" w:eastAsia="Arial" w:hAnsi="Arial"/>
                <w:sz w:val="18"/>
                <w:szCs w:val="18"/>
                <w:color w:val="auto"/>
                <w:w w:val="95"/>
              </w:rPr>
              <w:t>Deemed dividend on Series B Preferred Stock</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reported no revenue for the quarters ended June 30, 2016 or 2015 and we presently have no revenue generating arrangements. However, as indicated previously, we have entered into a CRADA with the NIH providing for a Phase 2a clinical study of AV-101 in treatment resistant Major Depressive Disorder. This Phase 2a study, which began in late-2015, is being funded by the NIH and conducted at the NIMH.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totaled $825,700 for the quarter ended June 30, 2016, more than at two-fold increase when compared with the $372,600 reported for the quarter ended June 30, 2015. This increase is primarily the result of increased spending on the development of AV-101 and legal and application costs related to a number of U.S. and foreign pending patent applications with respect to AV-101 and our stem cell technology platform. The following table indicates the primary components of research and development expense for each of the periods (amounts in thousands):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594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4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Technology licenses and royalties</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AV-101</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Stem cell and all other</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salaries and benefits is primarily attributable to bonus payments made to the four non-officer members of our scientific staff in June 2016 and the hiring of Dr. Mark Smith as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in June 2016.</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based compensation expense reflects the ratable amortization of option grants made to our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CMO, scientific staff and consultants, most recently in June 2016 (CSO and CMO only) and September 2015 (in 2016 expense only). Our stock options are generally amortized over a two-year or four-year vesting period. Essentially all of the option grants made in or prior to October 2013 and in March 2014 became fully-vested and were fully-expensed prior to the quarter ended June 30, 2016.</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Consulting services reflects fees paid or accrued for scientific services rendered to us by third-parties, primarily by members of our scientific and clinical advisory board.</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Technology license expense reflects both recurring annual fees as well as legal counsel and other costs related to patent prosecution and protection that we are required to fund under the terms of certain of our stem cell technology license agreements or have elected to pursue for commercial purposes. We recognize these costs as they are invoiced to us by the licensors and they do not occur ratably throughout the year or between years. Additionally, in the quarter ended June 30, 2016, this expense includes legal counsel and other costs we have incurred to advance in the U.S. and numerous foreign countries several pending patent applications with respect to AV-101 and our stem cell technology platform.</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AV-101 project expenses in both periods reflect the costs associated with monitoring for and responding to potential feedback related to the Phase 1 clinical trial and preparing other reports required under the terms of our prior NIH grant, primarily through our contract research collaborator, Cato Research Ltd. Expense for the quarter ended June 30, 2016 also includes costs incurred to explore and develop more efficient and cost-effective production methods for AV-101 and certain pre-production studies and procedures as well as costs related to updating documentation to facilitate the Phase 2 clinical trial of AV-101 in treatment resistant MDD sponsored and conducted by the NIH. Stem cell and other project related expenses in both periods were minimal.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decreased to $1,137,600 from $1,448,500, for the quarters ended June 30, 2016 and 2015, respectively, primarily as a result of the decrease in noncash expense related to both grants of equity securities in payment of certain professional services during 2015 and the modification of certain outstanding warrants in June 2015. The following table indicates the primary components of general and administrative expenses for each of the periods (amounts in thousands):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88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7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Legal, accounting and other professional fees</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Rent and utilities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All other expenses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General and Administrative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salaries and benefits is primarily attributable to a bonus payment made to a non-officer member of our administrative staff in June 2016 and the change in that employee’s status from part-time to full-time effective in November 2015.</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based compensation expense reflects the ratable amortization of option grants made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independent members of our Board of Directors and administrative staff and consultants, most recently in June 2016 (CEO, CFO and independent Board members only) and September 2015 (in 2016 expense only). Our stock options are generally amortized over a two-year or four-year vesting period. Essentially all of the option grants made in or prior to October 2013 and in March 2014 became fully-vested and were fully-expensed prior to the quarter ended June 30, 2016.</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Consulting services primarily includes fees recognized for the services of independent members of our Board of Directors. We added an additional independent director to our Board in March 2016.</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Legal, accounting and other professional fees in the quarter ended June 30, 2015 included non-cash expense related to the grant of an aggregate of 50,000 shares of our common stock having a fair value of $500,000 pursuant to two corporate development contracts initiated during that quarter and the grant of 25,000 shares of our Series B Preferred having a fair value of $250,000 to legal counsel as compensation for services in connection with our debt restructuring and other corporate finance matters. Expense for the quarter ended June 30, 2016 included $337,500 of noncash expense recognized during the quarter pursuant to the June 30, 2015 grant of an aggregate of 90,000 shares of our Series B Preferred having an aggregate fair value of $1,350,000 as compensation for financial advisory and corporate development service contracts with two independent contractors for services to be performed through June 30, 2016. In both years, professional services fees also include the expense related to the annual audit of the prior year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Investor relations expense includes the fees of our external service providers and, in the quarter ended June 30, 2016, initiatives that include meetings and other communication activities focused on expanding market awareness of the Company, including among investment professionals and advisors, and individual and institutional investors, both before and following the May 2016 Public Offering.</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both periods, travel expense reflects costs associated with presentations to and meetings with existing and potential investors in connection with self-placed private placement offerings of our securities and/or the May 2016 Public Offering, as well as various investor relations and market awareness initiatives.</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and May 2016, we entered into warrant exchange agreements with certain warrant holders pursuant to which the warrant holders exchanged outstanding warrants to purchase an aggregate of 41,649 shares of our common stock for an aggregate of 31,238 shares of our unregistered common stock. As we had with similar transactions during the quarter ended March 31, 2016, we accounted for these transactions as warrant modifications, resulting in our recognition of $40,300 in noncash expense in the quarter ended June 30, 2016. Warrant modification expense in the quarter ended June 30, 2015 reflects the impact of June 2015 strategic reductions in the exercise price of certain outstanding warrants, generally from $30.00 per share to $10.00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totaled $1,400 for the quarter ended June 30, 2016, a significant decrease compared to the $755,100 reported for the quarter ended June 30, 2015, resulting from the extinguishment of a substantial portion of our promissory notes, as well as other indebtedness, during May and June 2015 by conversion into our Series B Preferred and the related elimination of note interest and discount amortization. The following table summarizes the primary components of interest expense for each of the periods (amounts in thousands):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882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7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Amortization of discount on promissory notes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on promissory notes in the quarter ended June 30, 2016 represents only the quarterly interest accrued on our August 2012 note to Progressive Medical Research prior to its repayment in June 2016. The substantial overall decrease in interest expense on promissory notes and the related amortization of discounts on such notes between the periods reflects the cessation of interest accrual and discount amortization upon the extinguishment and conversion of all outstanding Senior Secured Convertible Notes, certain 10% convertible notes (</w:t>
      </w:r>
      <w:r>
        <w:rPr>
          <w:rFonts w:ascii="Arial" w:cs="Arial" w:eastAsia="Arial" w:hAnsi="Arial"/>
          <w:sz w:val="18"/>
          <w:szCs w:val="18"/>
          <w:i w:val="1"/>
          <w:iCs w:val="1"/>
          <w:color w:val="auto"/>
        </w:rPr>
        <w:t>2014 Unit Notes</w:t>
      </w:r>
      <w:r>
        <w:rPr>
          <w:rFonts w:ascii="Arial" w:cs="Arial" w:eastAsia="Arial" w:hAnsi="Arial"/>
          <w:sz w:val="18"/>
          <w:szCs w:val="18"/>
          <w:color w:val="auto"/>
        </w:rPr>
        <w:t>) and other outstanding promissory notes into shares of our Series B Preferred between May 2015 and June 2015.</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terms of our October 2012 Note Exchange and Purchase Agreement with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we issued certain Senior Secured Convertible Promissory Notes and a related Exchange Warrant and Investment Warrants between October 2012 and July 2013. Upon PLTG’s exchange of the shares of our Series A Preferred Stock held by PLTG into shares of our common stock, we will also be required to issue a Series A Exchange Warrant to PLTG.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to the Condensed Consolidated Financial Statements included in Part 1, Item 1 of this Quarterly Report on Form 10-Q, on May 12, 2015, we entered into an agreement with PLTG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reflecting an increase of $1,894,700 since March 31, 2015, resulting primarily from the increase in the market price of our common stock in relation to the exercise price of the warrants, and then subsequently eliminated the entire warrant liability with respect to these warrants. In January 2016, the PLTG warrants were exchanged for shares of our Series C Preferred stock.</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Between May 2015 and June 2015, we extinguished the then-outstanding balances of approximately $15.4 million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noncash losses on each of the extinguishments. Additionally, under the terms of our May 2015 agreement with PLTG in which they agreed to, among other things, convert the Senior Secured Notes and certain other of our convertible promissory notes into Series B Preferred, we issued to PLTG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extinguishment of debt. Many of the 2014 Unit Notes that were converted into Series B Preferred contained a beneficial conversion feature at the time they were originally issued. We accounted for the repurchase of the beneficial conversion feature at the time the 2014 Unit Notes were extinguished and converted, an aggregate of $2,237,100, as a reduction to the loss on extinguishment of debt. We recorded an aggregate net noncash loss of $25.1 million attributable to the extinguishment of the indebtedness converted into Series B Preferred during the quarter ended June 30, 2015.</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allocated the proceeds from the self-placed private placement sales of Series B Preferred Units to the Series B Preferred and the Series B Warrants based on their relative fair values on the dates of the sales. The difference between the relative fair value per share of the Series B Preferred, approximately $4.20 per share and $4.05 per share for the quarters ended June 30, 2016 and 2015, respectively, and its Conversion Price (or stated value) of $7.00 per share represents a deemed dividend to the purchasers of the Series B Preferred Units. Accordingly, we recognized a deemed dividend in the aggregate amount of $111,100 and $256,200 in arriving at net loss attributable to common stockholders for the quarters ended June 30, 2016 and 2015, respectively, in the accompanying Condensed Consolidated Statement of Operations and Comprehensive Loss included in Part I of this Report. Further, we have recognized $539,800 and $213,300 for the quarters ended June 30, 2016 and 2015, respectively, representing the 10% cumulative dividend payable on our Series B Preferred as an additional deduction in arriving at net loss attributable to common stockholders in the accompanying Condensed Consolidated Statement of Operations and Comprehensive Loss, included elsewhere in this Report.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our inception in May 1998 through June 30, 2016, we have financed our operations and technology acquisitions primarily through the issuance and sale of our equity and debt securities, including convertible promissory notes and short-term promissory notes, for cash proceeds of approximately $44.3 million, as well as from an aggregate of approximately $16.4 million of government research grant awards, strategic collaboration payments and other revenues. Additionally, we have issued equity securities with an approximate value at issuance of $29.1 million in non-cash settlements of certain liabilities, including liabilities for professional services rendered to us or as compensation for such services.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Between April 1, 2016 and May 4, 2016, we sold to accredited investors Series B Preferred Units consisting of 39,714 unregistered shares of our Series B Preferred Stock, par value $0.001 per share (</w:t>
      </w:r>
      <w:r>
        <w:rPr>
          <w:rFonts w:ascii="Arial" w:cs="Arial" w:eastAsia="Arial" w:hAnsi="Arial"/>
          <w:sz w:val="17"/>
          <w:szCs w:val="17"/>
          <w:i w:val="1"/>
          <w:iCs w:val="1"/>
          <w:color w:val="auto"/>
        </w:rPr>
        <w:t>Series B Preferred</w:t>
      </w:r>
      <w:r>
        <w:rPr>
          <w:rFonts w:ascii="Arial" w:cs="Arial" w:eastAsia="Arial" w:hAnsi="Arial"/>
          <w:sz w:val="17"/>
          <w:szCs w:val="17"/>
          <w:color w:val="auto"/>
        </w:rPr>
        <w:t>), and five year warrants to purchase 39,714 shares of our common stock, and we received cash proceeds of $278,000. Further, on May 16, 2016 we consummated the May 2016 Public Offering, an underwritten public offering pursuant to which we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We received net cash proceeds of approximately $9.5 million from the May 2016 Public offering after deducting fees and expenses. We expect the proceeds of these transactions to provide sufficient cash to sustain our operations through our fiscal year ending March 31, 2017, however they will not be adequate to enable the completion of our Phase 2b clinical trial of AV-101 in MDD. Accordingly, we intend to raise additional capital through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accounting, public company compliance and other professional services and working capital costs.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of the other information in this Quarterly Report on Form 10-Q and in our Annual Report on Form 10-K filed with the Securities and Exchange Commission for the fiscal year ended March 31, 2016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but to a more limited extent,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2021,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not permitted to market our product candidates in the United States until we receive approval of a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Also, we anticipate that the FDA will require that we conduct additional toxicity studies and additional non-clinical studies before submitting an NDA for AV-101.</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70" w:lineRule="exact"/>
        <w:rPr>
          <w:sz w:val="20"/>
          <w:szCs w:val="20"/>
          <w:color w:val="auto"/>
        </w:rPr>
      </w:pPr>
    </w:p>
    <w:p>
      <w:pPr>
        <w:ind w:left="680" w:right="560" w:hanging="483"/>
        <w:spacing w:after="0" w:line="259" w:lineRule="auto"/>
        <w:tabs>
          <w:tab w:leader="none" w:pos="7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86" w:lineRule="exact"/>
        <w:rPr>
          <w:rFonts w:ascii="Arial" w:cs="Arial" w:eastAsia="Arial" w:hAnsi="Arial"/>
          <w:sz w:val="18"/>
          <w:szCs w:val="18"/>
          <w:color w:val="auto"/>
        </w:rPr>
      </w:pPr>
    </w:p>
    <w:p>
      <w:pPr>
        <w:ind w:left="680" w:hanging="483"/>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80" w:right="340" w:hanging="483"/>
        <w:spacing w:after="0" w:line="34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680" w:hanging="483"/>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intend to seek a Fast Track designation from the FDA for AV-101 for treatment of MDD. Even if the FDA approves Fast Track designation for AV-101 for treatment of MDD, it may not actually lead to a faster development or regulatory review or approval process.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seek FDA Fast Track designation for AV-101 for adjunctive treatment of MDD,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treatment-resistant MDD, thereby delaying or preventing clinical development. Further, if AV-101 is approved for adjunctive treatment of MDD, and the market for this indication is smaller than we anticipate, our ability to achieve profitability could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AV-101 is currently being tested in an NIMH-investigator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193" w:lineRule="exact"/>
        <w:rPr>
          <w:sz w:val="20"/>
          <w:szCs w:val="20"/>
          <w:color w:val="auto"/>
        </w:rPr>
      </w:pPr>
    </w:p>
    <w:p>
      <w:pPr>
        <w:ind w:left="680" w:right="160" w:hanging="483"/>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clinical trial on hold;</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from our ongoing pre-clinical studies;</w:t>
      </w:r>
    </w:p>
    <w:p>
      <w:pPr>
        <w:spacing w:after="0" w:line="225" w:lineRule="exact"/>
        <w:rPr>
          <w:rFonts w:ascii="Arial" w:cs="Arial" w:eastAsia="Arial" w:hAnsi="Arial"/>
          <w:sz w:val="18"/>
          <w:szCs w:val="18"/>
          <w:color w:val="auto"/>
        </w:rPr>
      </w:pPr>
    </w:p>
    <w:p>
      <w:pPr>
        <w:ind w:left="680" w:right="20" w:hanging="483"/>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680" w:right="100" w:hanging="483"/>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site or sites;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25" w:lineRule="exact"/>
        <w:rPr>
          <w:rFonts w:ascii="Arial" w:cs="Arial" w:eastAsia="Arial" w:hAnsi="Arial"/>
          <w:sz w:val="18"/>
          <w:szCs w:val="18"/>
          <w:color w:val="auto"/>
        </w:rPr>
      </w:pPr>
    </w:p>
    <w:p>
      <w:pPr>
        <w:ind w:left="680" w:right="540" w:hanging="483"/>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680" w:right="200" w:hanging="483"/>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CNS therapies that raise safety or efficacy concerns;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80" w:right="240" w:hanging="483"/>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8"/>
          <w:szCs w:val="18"/>
          <w:i w:val="1"/>
          <w:iCs w:val="1"/>
          <w:color w:val="auto"/>
        </w:rPr>
        <w:t>DSMB</w:t>
      </w:r>
      <w:r>
        <w:rPr>
          <w:rFonts w:ascii="Arial" w:cs="Arial" w:eastAsia="Arial" w:hAnsi="Arial"/>
          <w:sz w:val="18"/>
          <w:szCs w:val="18"/>
          <w:color w:val="auto"/>
        </w:rPr>
        <w:t>), overseeing the clinical trial at issue or other regulatory authorities due to a number of factors, including, among others:</w:t>
      </w:r>
    </w:p>
    <w:p>
      <w:pPr>
        <w:spacing w:after="0" w:line="181" w:lineRule="exact"/>
        <w:rPr>
          <w:sz w:val="20"/>
          <w:szCs w:val="20"/>
          <w:color w:val="auto"/>
        </w:rPr>
      </w:pPr>
    </w:p>
    <w:p>
      <w:pPr>
        <w:ind w:left="680" w:hanging="483"/>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80" w:right="40" w:hanging="483"/>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70" w:lineRule="exact"/>
        <w:rPr>
          <w:rFonts w:ascii="Arial" w:cs="Arial" w:eastAsia="Arial" w:hAnsi="Arial"/>
          <w:sz w:val="18"/>
          <w:szCs w:val="18"/>
          <w:color w:val="auto"/>
        </w:rPr>
      </w:pPr>
    </w:p>
    <w:p>
      <w:pPr>
        <w:ind w:left="680" w:right="280" w:hanging="483"/>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8" w:lineRule="exact"/>
        <w:rPr>
          <w:sz w:val="20"/>
          <w:szCs w:val="20"/>
          <w:color w:val="auto"/>
        </w:rPr>
      </w:pPr>
    </w:p>
    <w:p>
      <w:pPr>
        <w:ind w:left="680" w:hanging="48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ectPr>
          <w:pgSz w:w="11900" w:h="16838" w:orient="portrait"/>
          <w:cols w:equalWidth="0" w:num="1">
            <w:col w:w="11420"/>
          </w:cols>
          <w:pgMar w:left="240" w:top="130" w:right="239" w:bottom="433"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433" w:gutter="0" w:footer="0" w:header="0"/>
          <w:type w:val="continuous"/>
        </w:sectPr>
      </w:pPr>
    </w:p>
    <w:bookmarkStart w:id="27" w:name="page28"/>
    <w:bookmarkEnd w:id="2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yet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pre-clinical studies and clinical trial supplies.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1" w:lineRule="exact"/>
        <w:rPr>
          <w:sz w:val="20"/>
          <w:szCs w:val="20"/>
          <w:color w:val="auto"/>
        </w:rPr>
      </w:pPr>
    </w:p>
    <w:p>
      <w:pPr>
        <w:ind w:left="680" w:right="240" w:hanging="483"/>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81" w:lineRule="exact"/>
        <w:rPr>
          <w:rFonts w:ascii="Arial" w:cs="Arial" w:eastAsia="Arial" w:hAnsi="Arial"/>
          <w:sz w:val="18"/>
          <w:szCs w:val="18"/>
          <w:color w:val="auto"/>
        </w:rPr>
      </w:pPr>
    </w:p>
    <w:p>
      <w:pPr>
        <w:ind w:left="680" w:hanging="483"/>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36" w:lineRule="exact"/>
        <w:rPr>
          <w:rFonts w:ascii="Arial" w:cs="Arial" w:eastAsia="Arial" w:hAnsi="Arial"/>
          <w:sz w:val="17"/>
          <w:szCs w:val="17"/>
          <w:color w:val="auto"/>
        </w:rPr>
      </w:pPr>
    </w:p>
    <w:p>
      <w:pPr>
        <w:ind w:left="680" w:hanging="48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680" w:hanging="483"/>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80" w:hanging="483"/>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71" w:lineRule="exact"/>
        <w:rPr>
          <w:sz w:val="20"/>
          <w:szCs w:val="20"/>
          <w:color w:val="auto"/>
        </w:rPr>
      </w:pPr>
    </w:p>
    <w:p>
      <w:pPr>
        <w:ind w:left="680" w:hanging="483"/>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680" w:right="520" w:hanging="483"/>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ectPr>
          <w:pgSz w:w="11900" w:h="16838" w:orient="portrait"/>
          <w:cols w:equalWidth="0" w:num="1">
            <w:col w:w="11420"/>
          </w:cols>
          <w:pgMar w:left="240" w:top="130"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left="680" w:hanging="48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management is unaware of any FDA-approved adjunctive therapy for treatment-resistant MDD with the same mechanism of action and safety profile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sometimes used before or instead of standard antidepressants to treat patients with MDD.</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field of new generation antidepressants focused on modulation of the NMDA receptor at the glycine binding co-agonist site, we believe our principal competitor is Allergan, which recently acquired from and is now developing both the intravenously-administered peptide, rapastinel (formerly GLYX-13), and NRX-1074, which may be or may become orally-available, for treatment-resistant MDD.</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Allergan, Alkermes, Astra Zeneca, Eli Lilly, GlaxoSmithKline, IntraCellular, Johnson &amp; Johnson, Lundbeck, Merck, Novartis, Ono, Otsuka, Pfizer, Roche, Sage, Sumitomo Dainippon, Teva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ectPr>
          <w:pgSz w:w="11900" w:h="16838" w:orient="portrait"/>
          <w:cols w:equalWidth="0" w:num="1">
            <w:col w:w="11420"/>
          </w:cols>
          <w:pgMar w:left="240" w:top="130"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left="680" w:hanging="483"/>
        <w:spacing w:after="0" w:line="286"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5" w:lineRule="exact"/>
        <w:rPr>
          <w:rFonts w:ascii="Arial" w:cs="Arial" w:eastAsia="Arial" w:hAnsi="Arial"/>
          <w:sz w:val="17"/>
          <w:szCs w:val="17"/>
          <w:color w:val="auto"/>
        </w:rPr>
      </w:pPr>
    </w:p>
    <w:p>
      <w:pPr>
        <w:jc w:val="both"/>
        <w:ind w:left="680" w:hanging="483"/>
        <w:spacing w:after="0" w:line="26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1" w:lineRule="exact"/>
        <w:rPr>
          <w:rFonts w:ascii="Arial" w:cs="Arial" w:eastAsia="Arial" w:hAnsi="Arial"/>
          <w:sz w:val="18"/>
          <w:szCs w:val="18"/>
          <w:color w:val="auto"/>
        </w:rPr>
      </w:pPr>
    </w:p>
    <w:p>
      <w:pPr>
        <w:jc w:val="both"/>
        <w:ind w:left="680" w:hanging="483"/>
        <w:spacing w:after="0" w:line="259"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ind w:left="680" w:right="20" w:hanging="483"/>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680" w:hanging="483"/>
        <w:spacing w:after="0" w:line="259"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6" w:lineRule="exact"/>
        <w:rPr>
          <w:rFonts w:ascii="Arial" w:cs="Arial" w:eastAsia="Arial" w:hAnsi="Arial"/>
          <w:sz w:val="18"/>
          <w:szCs w:val="18"/>
          <w:color w:val="auto"/>
        </w:rPr>
      </w:pPr>
    </w:p>
    <w:p>
      <w:pPr>
        <w:jc w:val="both"/>
        <w:ind w:left="680" w:hanging="483"/>
        <w:spacing w:after="0" w:line="259"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86" w:lineRule="exact"/>
        <w:rPr>
          <w:rFonts w:ascii="Arial" w:cs="Arial" w:eastAsia="Arial" w:hAnsi="Arial"/>
          <w:sz w:val="18"/>
          <w:szCs w:val="18"/>
          <w:color w:val="auto"/>
        </w:rPr>
      </w:pPr>
    </w:p>
    <w:p>
      <w:pPr>
        <w:ind w:left="680" w:hanging="483"/>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one or more of our product candidates, there may be limits to the regulatory exclusivity afforded by such designation.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in the future, choose to seek FDA Orphan Drug designation for one or more of our product candidates, including AV-101. Even if we obtain Orphan Drug designation from the FDA for any one of our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81" w:lineRule="exact"/>
        <w:rPr>
          <w:sz w:val="20"/>
          <w:szCs w:val="20"/>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ectPr>
          <w:pgSz w:w="11900" w:h="16838" w:orient="portrait"/>
          <w:cols w:equalWidth="0" w:num="1">
            <w:col w:w="11420"/>
          </w:cols>
          <w:pgMar w:left="240" w:top="130"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80" w:hanging="483"/>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54" w:lineRule="exact"/>
        <w:rPr>
          <w:sz w:val="20"/>
          <w:szCs w:val="20"/>
          <w:color w:val="auto"/>
        </w:rPr>
      </w:pPr>
    </w:p>
    <w:p>
      <w:pPr>
        <w:ind w:left="680" w:hanging="483"/>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680" w:hanging="483"/>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680" w:right="380" w:hanging="483"/>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6" w:lineRule="exact"/>
        <w:rPr>
          <w:sz w:val="20"/>
          <w:szCs w:val="20"/>
          <w:color w:val="auto"/>
        </w:rPr>
      </w:pPr>
    </w:p>
    <w:p>
      <w:pPr>
        <w:ind w:left="680" w:hanging="483"/>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680" w:right="160" w:hanging="483"/>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680" w:hanging="483"/>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680" w:hanging="483"/>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drug rescue NCE may not be accepted as safe and effective by regulatory authorities, patients, the medical community or third-party payors.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ectPr>
          <w:pgSz w:w="11900" w:h="16838" w:orient="portrait"/>
          <w:cols w:equalWidth="0" w:num="1">
            <w:col w:w="11420"/>
          </w:cols>
          <w:pgMar w:left="240" w:top="13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5" w:name="page36"/>
    <w:bookmarkEnd w:id="3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70" w:lineRule="exact"/>
        <w:rPr>
          <w:sz w:val="20"/>
          <w:szCs w:val="20"/>
          <w:color w:val="auto"/>
        </w:rPr>
      </w:pPr>
    </w:p>
    <w:p>
      <w:pPr>
        <w:ind w:left="680" w:right="80" w:hanging="483"/>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70" w:lineRule="exact"/>
        <w:rPr>
          <w:rFonts w:ascii="Arial" w:cs="Arial" w:eastAsia="Arial" w:hAnsi="Arial"/>
          <w:sz w:val="18"/>
          <w:szCs w:val="18"/>
          <w:color w:val="auto"/>
        </w:rPr>
      </w:pPr>
    </w:p>
    <w:p>
      <w:pPr>
        <w:ind w:left="680" w:right="140" w:hanging="483"/>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70" w:lineRule="exact"/>
        <w:rPr>
          <w:rFonts w:ascii="Arial" w:cs="Arial" w:eastAsia="Arial" w:hAnsi="Arial"/>
          <w:sz w:val="18"/>
          <w:szCs w:val="18"/>
          <w:color w:val="auto"/>
        </w:rPr>
      </w:pPr>
    </w:p>
    <w:p>
      <w:pPr>
        <w:ind w:left="680" w:right="580" w:hanging="483"/>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70" w:lineRule="exact"/>
        <w:rPr>
          <w:rFonts w:ascii="Arial" w:cs="Arial" w:eastAsia="Arial" w:hAnsi="Arial"/>
          <w:sz w:val="18"/>
          <w:szCs w:val="18"/>
          <w:color w:val="auto"/>
        </w:rPr>
      </w:pPr>
    </w:p>
    <w:p>
      <w:pPr>
        <w:ind w:left="680" w:right="220" w:hanging="483"/>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heart,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of our research and development programs may involve the use of human cells derived from our controlled differentiation of human embryonic stem cells (</w:t>
      </w:r>
      <w:r>
        <w:rPr>
          <w:rFonts w:ascii="Arial" w:cs="Arial" w:eastAsia="Arial" w:hAnsi="Arial"/>
          <w:sz w:val="17"/>
          <w:szCs w:val="17"/>
          <w:i w:val="1"/>
          <w:iCs w:val="1"/>
          <w:color w:val="auto"/>
        </w:rPr>
        <w:t>hESC</w:t>
      </w:r>
      <w:r>
        <w:rPr>
          <w:rFonts w:ascii="Arial" w:cs="Arial" w:eastAsia="Arial" w:hAnsi="Arial"/>
          <w:sz w:val="17"/>
          <w:szCs w:val="17"/>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fertilization (</w:t>
      </w:r>
      <w:r>
        <w:rPr>
          <w:rFonts w:ascii="Arial" w:cs="Arial" w:eastAsia="Arial" w:hAnsi="Arial"/>
          <w:sz w:val="17"/>
          <w:szCs w:val="17"/>
          <w:i w:val="1"/>
          <w:iCs w:val="1"/>
          <w:color w:val="auto"/>
        </w:rPr>
        <w:t>IVF</w:t>
      </w:r>
      <w:r>
        <w:rPr>
          <w:rFonts w:ascii="Arial" w:cs="Arial" w:eastAsia="Arial" w:hAnsi="Arial"/>
          <w:sz w:val="17"/>
          <w:szCs w:val="17"/>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b w:val="1"/>
          <w:bCs w:val="1"/>
          <w:i w:val="1"/>
          <w:iCs w:val="1"/>
          <w:u w:val="single" w:color="auto"/>
          <w:color w:val="0000EE"/>
        </w:rPr>
      </w:pPr>
      <w:hyperlink w:anchor="page2">
        <w:r>
          <w:rPr>
            <w:rFonts w:ascii="Arial" w:cs="Arial" w:eastAsia="Arial" w:hAnsi="Arial"/>
            <w:sz w:val="16"/>
            <w:szCs w:val="16"/>
            <w:b w:val="1"/>
            <w:bCs w:val="1"/>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social and ethical concerns surrounding the use of iPSCs, biological materials and genetic information could impair our operations.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human cells we produce from hPSCs and our customized bioassay systems using such cells, including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5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$47.2 million, which includes $26.7 million of non-cash expense related to the extinguishment of essentially all of our outstanding promissory notes and certain other indebtedness, and $13.9 million during the fiscal years ended March 31, 2016 and 2015, respectively, and a net loss of $2.0 million in the quarter ended June 30, 2016. As of June 30, 2016, we had an accumulated deficit of approximately $133.7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become profitable depends upon our ability to generate revenues. To date, we have generated approximately $16.4 million in revenues, primarily from the receipt of research and development grants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93" w:lineRule="exact"/>
        <w:rPr>
          <w:sz w:val="20"/>
          <w:szCs w:val="20"/>
          <w:color w:val="auto"/>
        </w:rPr>
      </w:pPr>
    </w:p>
    <w:p>
      <w:pPr>
        <w:ind w:left="980" w:hanging="50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preclinical and clinical trials that meet their prescribed endpoints;</w:t>
      </w:r>
    </w:p>
    <w:p>
      <w:pPr>
        <w:spacing w:after="0" w:line="225" w:lineRule="exact"/>
        <w:rPr>
          <w:rFonts w:ascii="Arial" w:cs="Arial" w:eastAsia="Arial" w:hAnsi="Arial"/>
          <w:sz w:val="18"/>
          <w:szCs w:val="18"/>
          <w:color w:val="auto"/>
        </w:rPr>
      </w:pPr>
    </w:p>
    <w:p>
      <w:pPr>
        <w:ind w:left="980" w:hanging="508"/>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236" w:lineRule="exact"/>
        <w:rPr>
          <w:rFonts w:ascii="Arial" w:cs="Arial" w:eastAsia="Arial" w:hAnsi="Arial"/>
          <w:sz w:val="17"/>
          <w:szCs w:val="17"/>
          <w:color w:val="auto"/>
        </w:rPr>
      </w:pPr>
    </w:p>
    <w:p>
      <w:pPr>
        <w:ind w:left="980" w:hanging="508"/>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commercialize our product candidates, if approved, by developing a sales force or entering into collaborations with third parties; and</w:t>
      </w:r>
    </w:p>
    <w:p>
      <w:pPr>
        <w:spacing w:after="0" w:line="236" w:lineRule="exact"/>
        <w:rPr>
          <w:rFonts w:ascii="Arial" w:cs="Arial" w:eastAsia="Arial" w:hAnsi="Arial"/>
          <w:sz w:val="17"/>
          <w:szCs w:val="17"/>
          <w:color w:val="auto"/>
        </w:rPr>
      </w:pPr>
    </w:p>
    <w:p>
      <w:pPr>
        <w:ind w:left="980" w:hanging="50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consummation of the May 2016 Public Offering (defined below), we require additional financing to execute our business plan and continue to operate as a going concern.</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audited consolidated financial statements for the year ended March 31, 2016 and our condensed consolidated financial statements for the quarter ended June 30, 2016 have been prepared assuming we will continue to operate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At March 31, 2016, our existing cash and cash equivalents were not sufficient to fund our current operations for the next 12 months. However, as described in Note 8, </w:t>
      </w:r>
      <w:r>
        <w:rPr>
          <w:rFonts w:ascii="Arial" w:cs="Arial" w:eastAsia="Arial" w:hAnsi="Arial"/>
          <w:sz w:val="17"/>
          <w:szCs w:val="17"/>
          <w:i w:val="1"/>
          <w:iCs w:val="1"/>
          <w:color w:val="auto"/>
        </w:rPr>
        <w:t>Capital Stock</w:t>
      </w:r>
      <w:r>
        <w:rPr>
          <w:rFonts w:ascii="Arial" w:cs="Arial" w:eastAsia="Arial" w:hAnsi="Arial"/>
          <w:sz w:val="17"/>
          <w:szCs w:val="17"/>
          <w:color w:val="auto"/>
        </w:rPr>
        <w:t>, to the accompanying Condensed Consolidated Financial Statements for the quarter ended June 30, 2016 included elsewhere in this Quarterly Report, on May 16, 2016, we consummated an underwritten public offering, pursuant to which we issued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pursuant to the exercise of the underwriters’ over-allotment option, resulting in gross proceeds of approximately $10.9 million (</w:t>
      </w:r>
      <w:r>
        <w:rPr>
          <w:rFonts w:ascii="Arial" w:cs="Arial" w:eastAsia="Arial" w:hAnsi="Arial"/>
          <w:sz w:val="17"/>
          <w:szCs w:val="17"/>
          <w:i w:val="1"/>
          <w:iCs w:val="1"/>
          <w:color w:val="auto"/>
        </w:rPr>
        <w:t>May 2016 Public Offering</w:t>
      </w:r>
      <w:r>
        <w:rPr>
          <w:rFonts w:ascii="Arial" w:cs="Arial" w:eastAsia="Arial" w:hAnsi="Arial"/>
          <w:sz w:val="17"/>
          <w:szCs w:val="17"/>
          <w:color w:val="auto"/>
        </w:rPr>
        <w:t>). Our net proceeds from the May 2016 Public Offering were approximately $9.5 million after deducting underwriters’ commissions and other expenses of the offering. Additionally,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studies;</w:t>
      </w:r>
    </w:p>
    <w:p>
      <w:pPr>
        <w:spacing w:after="0" w:line="263" w:lineRule="exact"/>
        <w:rPr>
          <w:rFonts w:ascii="Arial" w:cs="Arial" w:eastAsia="Arial" w:hAnsi="Arial"/>
          <w:sz w:val="17"/>
          <w:szCs w:val="17"/>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commercialization activities if any of our product candidates are approved for sale, including marketing, sales and distribution costs;</w:t>
      </w:r>
    </w:p>
    <w:p>
      <w:pPr>
        <w:spacing w:after="0" w:line="263" w:lineRule="exact"/>
        <w:rPr>
          <w:rFonts w:ascii="Arial" w:cs="Arial" w:eastAsia="Arial" w:hAnsi="Arial"/>
          <w:sz w:val="17"/>
          <w:szCs w:val="17"/>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60" w:hanging="350"/>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97" w:lineRule="exact"/>
        <w:rPr>
          <w:rFonts w:ascii="Arial" w:cs="Arial" w:eastAsia="Arial" w:hAnsi="Arial"/>
          <w:sz w:val="18"/>
          <w:szCs w:val="18"/>
          <w:color w:val="auto"/>
        </w:rPr>
      </w:pPr>
    </w:p>
    <w:p>
      <w:pPr>
        <w:ind w:left="660" w:hanging="350"/>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75" w:lineRule="exact"/>
        <w:rPr>
          <w:rFonts w:ascii="Arial" w:cs="Arial" w:eastAsia="Arial" w:hAnsi="Arial"/>
          <w:sz w:val="16"/>
          <w:szCs w:val="16"/>
          <w:color w:val="auto"/>
        </w:rPr>
      </w:pPr>
    </w:p>
    <w:p>
      <w:pPr>
        <w:ind w:left="660" w:right="20" w:hanging="350"/>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Proceeds from the May 2016 Public Offering will not be sufficient to complete the Phase 2b MDD Study, resulting in the need for additional financing.</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anticipate that the net proceeds from the May 2016 Public Offering will provide sufficient funding for our operations through the release of topline results of our fully-funded, NIH-sponsored AV-101 Phase 2a clinical study in MDD (</w:t>
      </w:r>
      <w:r>
        <w:rPr>
          <w:rFonts w:ascii="Arial" w:cs="Arial" w:eastAsia="Arial" w:hAnsi="Arial"/>
          <w:sz w:val="17"/>
          <w:szCs w:val="17"/>
          <w:i w:val="1"/>
          <w:iCs w:val="1"/>
          <w:color w:val="auto"/>
        </w:rPr>
        <w:t>Phase 2a MDD Study</w:t>
      </w:r>
      <w:r>
        <w:rPr>
          <w:rFonts w:ascii="Arial" w:cs="Arial" w:eastAsia="Arial" w:hAnsi="Arial"/>
          <w:sz w:val="17"/>
          <w:szCs w:val="17"/>
          <w:color w:val="auto"/>
        </w:rPr>
        <w:t>), anticipated in the second quarter of 2017, as well as the launch and conduct of a substantial portion of our AV-101 Phase 2b clinical study in MDD (</w:t>
      </w:r>
      <w:r>
        <w:rPr>
          <w:rFonts w:ascii="Arial" w:cs="Arial" w:eastAsia="Arial" w:hAnsi="Arial"/>
          <w:sz w:val="17"/>
          <w:szCs w:val="17"/>
          <w:i w:val="1"/>
          <w:iCs w:val="1"/>
          <w:color w:val="auto"/>
        </w:rPr>
        <w:t>Phase 2b MDD Study</w:t>
      </w:r>
      <w:r>
        <w:rPr>
          <w:rFonts w:ascii="Arial" w:cs="Arial" w:eastAsia="Arial" w:hAnsi="Arial"/>
          <w:sz w:val="17"/>
          <w:szCs w:val="17"/>
          <w:color w:val="auto"/>
        </w:rPr>
        <w:t>), the proceeds received will not be sufficient to complete the Phase 2b MDD Study, unless we also receive, prior to the end of the second quarter of 2017, proceeds resulting from the exercise of a substantial portion of the warrants offered in the May 2016 Public Offering and the underwriters exercise their option to purchase additional shares of common stock. Assuming no exercise of the warrants issued in the May 2016 Public Offering and no exercise of the underwriters’ option to purchase additional shares of common stock, we believe an additional $10.0 million to $12.0 million will be required prior to the end of the second quarter of 2017 in order to complete the Phase 2b MDD Study before the second half of 2018. No assurances can be provided that such additional capital will be available to us when necessary, on reasonable terms, or at all. In the event we are unable to raise such additional capital, our operations, including the conduct of the Phase 2b MDD Study, will be negatively and materially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will cause dilution to our existing stockholders, and may restrict our operations or require us to relinquish rights.</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pursue private and public equity offerings, debt financings, collaborations and licensing arrangements in 2016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grants, which may not be available to us in the future.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and the NIH’s National Institute of Mental Health,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ectPr>
          <w:pgSz w:w="11900" w:h="16838" w:orient="portrait"/>
          <w:cols w:equalWidth="0" w:num="1">
            <w:col w:w="11420"/>
          </w:cols>
          <w:pgMar w:left="240" w:top="13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March 31, 2016, we had federal and state net operating loss carryforwards of $67.9 million and $60.1 million, respectively, which begin to expire in fiscal 2017. Under Section 382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Quarterly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seek to advance development of AV-101 for MDD and other CNS-related conditions, as well as drug rescue and stem cell technology-related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60" w:hanging="35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no issued patents covering AV-101. We cannot provide any assurances that any of our numerous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 </w:t>
      </w:r>
      <w:r>
        <w:rPr>
          <w:rFonts w:ascii="Arial" w:cs="Arial" w:eastAsia="Arial" w:hAnsi="Arial"/>
          <w:sz w:val="17"/>
          <w:szCs w:val="17"/>
          <w:color w:val="auto"/>
        </w:rPr>
        <w:t>reexamination, or</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proceedings, supplemental examination and challenges in district court. Patents may be subjected to opposition,</w:t>
      </w:r>
      <w:r>
        <w:rPr>
          <w:rFonts w:ascii="Arial" w:cs="Arial" w:eastAsia="Arial" w:hAnsi="Arial"/>
          <w:sz w:val="17"/>
          <w:szCs w:val="17"/>
          <w:i w:val="1"/>
          <w:iCs w:val="1"/>
          <w:color w:val="auto"/>
        </w:rPr>
        <w:t xml:space="preserve"> </w:t>
      </w:r>
      <w:r>
        <w:rPr>
          <w:rFonts w:ascii="Arial" w:cs="Arial" w:eastAsia="Arial" w:hAnsi="Arial"/>
          <w:sz w:val="17"/>
          <w:szCs w:val="17"/>
          <w:color w:val="auto"/>
        </w:rPr>
        <w:t>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right="20" w:hanging="350"/>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97"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52" w:lineRule="exact"/>
        <w:rPr>
          <w:rFonts w:ascii="Arial" w:cs="Arial" w:eastAsia="Arial" w:hAnsi="Arial"/>
          <w:sz w:val="18"/>
          <w:szCs w:val="18"/>
          <w:color w:val="auto"/>
        </w:rPr>
      </w:pPr>
    </w:p>
    <w:p>
      <w:pPr>
        <w:ind w:left="660" w:right="20" w:hanging="350"/>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97"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88" w:lineRule="exact"/>
        <w:rPr>
          <w:sz w:val="20"/>
          <w:szCs w:val="20"/>
          <w:color w:val="auto"/>
        </w:rPr>
      </w:pPr>
    </w:p>
    <w:p>
      <w:pPr>
        <w:ind w:left="660" w:hanging="350"/>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660" w:hanging="350"/>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7"/>
          <w:szCs w:val="17"/>
          <w:color w:val="auto"/>
        </w:rPr>
      </w:pPr>
    </w:p>
    <w:p>
      <w:pPr>
        <w:ind w:left="660" w:hanging="350"/>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Patent and Trademark Office (</w:t>
      </w:r>
      <w:r>
        <w:rPr>
          <w:rFonts w:ascii="Arial" w:cs="Arial" w:eastAsia="Arial" w:hAnsi="Arial"/>
          <w:sz w:val="18"/>
          <w:szCs w:val="18"/>
          <w:i w:val="1"/>
          <w:iCs w:val="1"/>
          <w:color w:val="auto"/>
        </w:rPr>
        <w:t>USPTO</w:t>
      </w:r>
      <w:r>
        <w:rPr>
          <w:rFonts w:ascii="Arial" w:cs="Arial" w:eastAsia="Arial" w:hAnsi="Arial"/>
          <w:sz w:val="18"/>
          <w:szCs w:val="18"/>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ectPr>
          <w:pgSz w:w="11900" w:h="16838" w:orient="portrait"/>
          <w:cols w:equalWidth="0" w:num="1">
            <w:col w:w="11420"/>
          </w:cols>
          <w:pgMar w:left="240" w:top="130"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Business—Intellectual</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97"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380" w:right="70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380" w:right="660" w:hanging="372"/>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ectPr>
          <w:pgSz w:w="11900" w:h="16838" w:orient="portrait"/>
          <w:cols w:equalWidth="0" w:num="1">
            <w:col w:w="11420"/>
          </w:cols>
          <w:pgMar w:left="240" w:top="130"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820" w:hanging="488"/>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70" w:lineRule="exact"/>
        <w:rPr>
          <w:sz w:val="20"/>
          <w:szCs w:val="20"/>
          <w:color w:val="auto"/>
        </w:rPr>
      </w:pPr>
    </w:p>
    <w:p>
      <w:pPr>
        <w:ind w:left="860" w:hanging="52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highly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1.2 million shares are issued and outstanding as of the date of this Report; and (iii) 3.0 million shares of Series C Convertible Preferred Stock, of which approximately 2.3 million shares are issued and outstanding as of the date of this Report.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28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0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Underwriting Agreement, by and between Chardan Capital Markets, LLC and WallachBeth Capital, LLC, as representatives of the several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underwriters, and VistaGen Therapeutics, Inc., dated May 10, 2016, incorporated by reference from Exhibit 1.1 in the Company’s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Report on Form 8-K filed on May 16,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4.1</w:t>
            </w:r>
          </w:p>
        </w:tc>
        <w:tc>
          <w:tcPr>
            <w:tcW w:w="104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Warrant Agency Agreement, by and between Computershare, Inc. and VistaGen Therapeutics, Inc., dated May 16, 2016,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reference from Exhibit 4.1 in the Company’s Current Report on Form 8-K filed on May 16,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04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Form of Warrant, incorporated by reference from Exhibit 4.2 in the Company’s Current Report on Form 8-K filed on May 16,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104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6"/>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10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ind w:left="1140" w:right="20" w:hanging="1132"/>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7"/>
          <w:szCs w:val="17"/>
          <w:i w:val="1"/>
          <w:iCs w:val="1"/>
          <w:color w:val="auto"/>
        </w:rPr>
        <w:t>Chief Financial Officer (Principal Financial and Accounting Officer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2016</w:t>
      </w: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20"/>
          </w:cols>
          <w:pgMar w:left="240" w:top="130" w:right="11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52"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firstLine="530"/>
        <w:spacing w:after="0" w:line="264" w:lineRule="auto"/>
        <w:tabs>
          <w:tab w:leader="none" w:pos="117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530"/>
        <w:spacing w:after="0" w:line="264" w:lineRule="auto"/>
        <w:tabs>
          <w:tab w:leader="none" w:pos="132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530"/>
        <w:spacing w:after="0" w:line="308" w:lineRule="auto"/>
        <w:tabs>
          <w:tab w:leader="none" w:pos="1362"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530"/>
        <w:spacing w:after="0" w:line="264" w:lineRule="auto"/>
        <w:tabs>
          <w:tab w:leader="none" w:pos="11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530"/>
        <w:spacing w:after="0" w:line="277" w:lineRule="auto"/>
        <w:tabs>
          <w:tab w:leader="none" w:pos="143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0" w:firstLine="530"/>
        <w:spacing w:after="0" w:line="277" w:lineRule="auto"/>
        <w:tabs>
          <w:tab w:leader="none" w:pos="13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August 12, 2016</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52"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firstLine="530"/>
        <w:spacing w:after="0" w:line="264" w:lineRule="auto"/>
        <w:tabs>
          <w:tab w:leader="none" w:pos="11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530"/>
        <w:spacing w:after="0" w:line="264" w:lineRule="auto"/>
        <w:tabs>
          <w:tab w:leader="none" w:pos="132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530"/>
        <w:spacing w:after="0" w:line="308" w:lineRule="auto"/>
        <w:tabs>
          <w:tab w:leader="none" w:pos="1362"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530"/>
        <w:spacing w:after="0" w:line="264" w:lineRule="auto"/>
        <w:tabs>
          <w:tab w:leader="none" w:pos="11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530"/>
        <w:spacing w:after="0" w:line="277" w:lineRule="auto"/>
        <w:tabs>
          <w:tab w:leader="none" w:pos="14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0" w:firstLine="530"/>
        <w:spacing w:after="0" w:line="277" w:lineRule="auto"/>
        <w:tabs>
          <w:tab w:leader="none" w:pos="13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August 12, 2016</w:t>
      </w:r>
      <w:r>
        <w:rPr>
          <w:sz w:val="20"/>
          <w:szCs w:val="20"/>
          <w:color w:val="auto"/>
        </w:rPr>
        <w:tab/>
      </w:r>
      <w:r>
        <w:rPr>
          <w:rFonts w:ascii="Arial" w:cs="Arial" w:eastAsia="Arial" w:hAnsi="Arial"/>
          <w:sz w:val="16"/>
          <w:szCs w:val="16"/>
          <w:color w:val="auto"/>
        </w:rPr>
        <w:t>/s/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Jerrold D. Dotson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June 30, 2016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214" w:lineRule="exact"/>
        <w:rPr>
          <w:sz w:val="20"/>
          <w:szCs w:val="20"/>
          <w:color w:val="auto"/>
        </w:rPr>
      </w:pPr>
    </w:p>
    <w:p>
      <w:pPr>
        <w:ind w:left="660" w:hanging="229"/>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August 12,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32"/>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2020-01-21T01:24:47Z</dcterms:created>
  <dcterms:modified xsi:type="dcterms:W3CDTF">2020-01-21T01:24:47Z</dcterms:modified>
</cp:coreProperties>
</file>