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7.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18.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36"/>
        </w:rPr>
      </w:pPr>
      <w:bookmarkStart w:id="0" w:name="vtgn20231003_8k.htm"/>
      <w:bookmarkStart w:id="1" w:name="ksvtgn20231003_8k"/>
      <w:bookmarkEnd w:id="0"/>
      <w:bookmarkEnd w:id="1"/>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October 2, 2023</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Vistagen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35" w:type="dxa"/>
        <w:jc w:val="left"/>
        <w:tblInd w:w="0" w:type="dxa"/>
        <w:tblLayout w:type="fixed"/>
        <w:tblCellMar>
          <w:top w:w="0" w:type="dxa"/>
          <w:left w:w="0" w:type="dxa"/>
          <w:bottom w:w="0" w:type="dxa"/>
          <w:right w:w="0" w:type="dxa"/>
        </w:tblCellMar>
      </w:tblPr>
      <w:tblGrid>
        <w:gridCol w:w="2465"/>
        <w:gridCol w:w="60"/>
        <w:gridCol w:w="2300"/>
        <w:gridCol w:w="60"/>
        <w:gridCol w:w="1550"/>
      </w:tblGrid>
      <w:tr>
        <w:trPr/>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Nevada</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 of</w:t>
            </w:r>
            <w:r>
              <w:rPr>
                <w:rFonts w:ascii="Times New Roman" w:hAnsi="Times New Roman"/>
                <w:caps w:val="false"/>
                <w:smallCaps w:val="false"/>
                <w:sz w:val="20"/>
              </w:rPr>
              <w:br/>
            </w:r>
            <w:r>
              <w:rPr>
                <w:rFonts w:ascii="Times New Roman" w:hAnsi="Times New Roman"/>
                <w:b/>
                <w:caps w:val="false"/>
                <w:smallCaps w:val="false"/>
                <w:sz w:val="20"/>
              </w:rPr>
              <w:t>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2150"/>
        <w:gridCol w:w="60"/>
        <w:gridCol w:w="1535"/>
        <w:gridCol w:w="60"/>
        <w:gridCol w:w="3575"/>
      </w:tblGrid>
      <w:tr>
        <w:trPr/>
        <w:tc>
          <w:tcPr>
            <w:tcW w:w="7380" w:type="dxa"/>
            <w:gridSpan w:val="5"/>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each exchange on which registered</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 value $0.001 per share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 2023, Vistagen Therapeutics, Inc. (the “Company”) entered into an underwriting agreement (the “Underwriting Agreement”) with Jefferies LLC, Stifel, Nicolaus &amp; Company, Incorporated, and William Blair &amp; Company, L.L.C., as the representatives of the underwriters listed on Schedule A attached thereto (the “Underwriters”), in connection with the underwritten offering, issuance and sale by the Company of 15,010,810 shares of the Company’s common stock, $0.001 par value per share (the “Common Stock”), pre-funded warrants to purchase up to 3,577,240 shares of Common Stock (the “Pre-Funded Warrants”), warrants to purchase up to 9,294,022 shares of Common Stock (or pre-funded warrants to purchase up to 9,294,022 shares of Common Stock in lieu thereof) (the “T1 Warrants”) and warrants to purchase 11,265,086 shares of Common Stock (or pre-funded warrants to purchase up to 11,265,086 shares of Common Stock in lieu thereof) (the “T2 Warrants”). The combined offering price for each share of Common Stock, accompanying T1 Warrant and accompanying T2 Warrant was $5.38. The combined offering price per Pre-Funded Warrant, accompanying T1 Warrant and accompanying T2 Warrant was $5.379. The securities were issued pursuant to an effective shelf registration statement on Form S-3 (File No. 333-254299) and a related prospectus supplement filed with the Securities and Exchange Commission (the “Offering”). The Offering closed on October 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Pre-Funded Warrant has an exercise price per share of Common Stock equal to $0.001 per share, subject to certain adjustments. The Pre-Funded Warrants are exercisable at any time after October 4, 2023 and will not expire. Under the Pre-Funded Warrants, the Company may not effect the exercise of any Pre-Funded Warrant, and a holder will not be entitled to exercise any portion of any Pre-Funded Warrant, which, upon giving effect to such exercise, would cause the aggregate number of shares of the Common Stock beneficially owned by the holder of the Pre-Funded Warrant (together with its affiliates) to exceed 9.99% of the number of shares of the Common Stock outstanding immediately after giving effect to the exercise. However, any holder may increase or decrease such percentage to any other percentage (but not in excess of 19.99% if exceeding such percentage would result in a change of control under Nasdaq Listing Rule 5636(b) or any successor rule) upon at least 61 days’ prior notice from the holder to the Company subject to the terms of the Pre-Funded Warrant. At the holder’s sole discretion, the Pre-Funded Warrants may be exercised through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T1 Warrant has an exercise price per share of Common Stock or pre-funded warrant equal to $5.38, subject to certain adjustments. The T1 Warrants are exercisable at any time on or after October 4, 2023 and will expire 60 days after the later of (i) the date on which the Company first publicly discloses, whether by press release or Form 8-K filing, the top-line data for its PALISADE-3 Phase 3 clinical trial of fasedienol for the acute treatment of anxiety in adults with social anxiety disorder (“SAD”) and (ii) the date on which the Company first publicly discloses, whether by press release or Form 8-K filing, the top-line data for its PALISADE-4 Phase 3 clinical trial of fasedienol for the acute treatment of anxiety in adults with SAD</w:t>
      </w:r>
      <w:r>
        <w:rPr>
          <w:rFonts w:ascii="Times New Roman" w:hAnsi="Times New Roman"/>
          <w:i/>
          <w:caps w:val="false"/>
          <w:smallCaps w:val="false"/>
          <w:sz w:val="20"/>
        </w:rPr>
        <w:t>.</w:t>
      </w:r>
      <w:r>
        <w:rPr>
          <w:rFonts w:ascii="Times New Roman" w:hAnsi="Times New Roman"/>
          <w:caps w:val="false"/>
          <w:smallCaps w:val="false"/>
          <w:sz w:val="20"/>
        </w:rPr>
        <w:t xml:space="preserve"> However, under the T1 Warrant, the Company may not effect the exercise of any T1 Warrant, and a holder will not be entitled to exercise any portion of any T1 Warrant, which, upon giving effect to such exercise, would cause the aggregate number of shares of Common Stock beneficially owned by the holder of the T1 Warrant (together with its affiliates) to exceed 9.99% of the number of shares of the Common Stock outstanding immediately after giving effect to the exercise. However, any holder may increase or decrease such percentage to any other percentage (but not in excess of 19.99% if exceeding such percentage would result in a change of control under Nasdaq Listing Rule 5636(b) or any successor rule) upon at least 61 days’ prior notice from the holder to the Company subject to the terms of the T1 Warrant. Generally, the T1 Warrants may only be exercised through a cash exercise, however, the holder may elect to exercise the T1 Warrant through a cashless exercise if at the time of exercise hereof there is no effective registration statement registering, or the prospectus contained therein is not available for the issuance of the Common Stock or pre-funded warrants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T2 Warrant has an exercise price per share of Common Stock or pre-funded warrant equal to $8.877, subject to certain adjustments. The T2 Warrants are exercisable at any time on or after October 4, 2023 and will expire on October 4, 2028. Under the T2 Warrant, the Company may not effect the exercise of any T2 Warrant, and a holder will not be entitled to exercise any portion of any T2 Warrant, which, upon giving effect to such exercise, would cause the aggregate number of shares of the Common Stock beneficially owned by the holder of the T2 Warrant (together with its affiliates) to exceed 9.99% of the number of shares of the Common Stock outstanding immediately after giving effect to the exercise. However, any holder may increase or decrease such percentage to any other percentage (but not in excess of 19.99% if exceeding such percentage would result in a change of control under Nasdaq Listing Rule 5636(b) or any successor rule) upon at least 61 days’ prior notice from the holder to the Company subject to the terms of the T2 Warrant. The holder may, in its sole discretion, elect to exercise the T2 Warrant through a cashless exercise or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received approximately $93.5 million of net proceeds from the Offering, after deducting underwriting discounts and commissions and estimated offering expenses payable by the Company. The Company intends to use the net proceeds of the Offering together with its existing cash and cash equivalents, for research, development, manufacturing and regulatory expenses associated with development of its product candidates, including, primarily, its PALISADE Phase 3 development program for fasedienol for the acute treatment of anxiety in adults with SAD, and for other working capital and general corporate purposes. If the Company’s PALISADE Phase 3 program is successful, the Company believes the proceeds from this offering, together with its existing cash and cash equivalents, will be sufficient to fund its operations through its potential submission of a U.S. New Drug Application for fasedienol for the acute treatment of anxiety in adults with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Underwriting Agreement contains customary representations, warranties and covenants by the Company, customary conditions to closing, indemnification obligations of the Company and the Underwriters, including for liabilities under the Securities Act of 1933, as amended (the “Securities Act”), other obligations of the parties and termination provisions. The representations, warranties and covenants contained in the Underwriting Agreement were made solely for the benefit of the parties thereto and may be subject to limitations agreed upon by the contracting parties. Accordingly, the Underwriting Agreement is incorporated herein by reference only to provide investors with information regarding the terms of the Underwriting Agreement and not to provide investors with any other factual information regarding the Company or its business, and should be read in conjunction with the disclosures in the Company’s periodic reports and other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descriptions of the terms of the Underwriting Agreement, Pre-Funded Warrants, T1 Warrants and T2 Warrants are each qualified in their entirety by reference to the Underwriting Agreement, form of Pre-Funded Warrant, form of T1 Warrants and form of T2 Warrants, respectively, which are attached as Exhibit 1.1, Exhibit 4.1, Exhibit 4.2 and Exhibit 4.3 hereto, respectively,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Woodburn and Wedge, counsel to the Company, has issued an opinion to the Company, dated October 4, 2023, regarding the validity of the securities to be issued and sold in the Offering. A copy of the opinion is filed as Exhibit 5.1 to this Current Report on Form 8-K (this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anticipated use of the net proceeds from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forward-looking statements are based on the Company’s current expectations and are subject to inherent uncertainties, risks and assumptions that are difficult to predict. Factors that could cause actual results to differ include, but are not limited to, the risks inherent in oncology drug development, including clinical trials, and risks related to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important factors discussed under the caption “Risk Factors” in the Company’s Annual Report on Form 10-K for the fiscal year ended March 31, 2023 and filed with the U.S. Securities and Exchange Commission (the “SEC”) on June 28, 2023 and the Company’s other reports filed with the SEC could cause actual results to differ materially from those indicated by the forward-looking statements made in this Current Report. Any such forward-looking statements represent management’s estimates as of the date of this Current Report. While the Company may elect to update such forward-looking statements at some point in the future, the Company disclaims any obligation to do so, even if subsequent events cause the Company’s views to change. These forward-looking statements should not be relied upon as representing the Company’s views as of any date subsequent to the date of this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4, 2023, the Company began utilizing a new corporate presentation, a copy of which is attached to this Current Report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Current Report, including the information set forth in Exhibit 99.1, is being furnished and shall not be deemed “filed” for purposes of Section 18 of the Securities Exchange Act of 1934, as amended (the “Exchange Act”), nor shall Exhibit 99.1 filed herewith be deemed incorporated by reference in any filing under the Securities Act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Offering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 2023, the Company issued a press release announcing the pricing of the Offering. A copy of the press release is attached hereto as Exhibit 99.2 and incorporated here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5"/>
        <w:gridCol w:w="60"/>
        <w:gridCol w:w="9280"/>
      </w:tblGrid>
      <w:tr>
        <w:trPr/>
        <w:tc>
          <w:tcPr>
            <w:tcW w:w="8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283"/>
              <w:jc w:val="left"/>
              <w:rPr/>
            </w:pPr>
            <w:r>
              <w:rPr/>
              <w:t> </w:t>
            </w:r>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pPr>
            <w:hyperlink w:anchor="ex_576126.htm">
              <w:r>
                <w:rPr>
                  <w:rStyle w:val="InternetLink"/>
                  <w:rFonts w:ascii="Times New Roman;Times;serif" w:hAnsi="Times New Roman;Times;serif"/>
                  <w:caps w:val="false"/>
                  <w:smallCaps w:val="false"/>
                  <w:sz w:val="20"/>
                </w:rPr>
                <w:t>Underwriting Agreement, dated as of October 2, 2023, by and among the Company, Jefferies LLC, Stifel, Nicolaus &amp; Company, Incorporated and William Blair &amp; Company, L.L.C.</w:t>
              </w:r>
            </w:hyperlink>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pPr>
            <w:hyperlink w:anchor="ex_576134.htm">
              <w:r>
                <w:rPr>
                  <w:rStyle w:val="InternetLink"/>
                  <w:rFonts w:ascii="Times New Roman;Times;serif" w:hAnsi="Times New Roman;Times;serif"/>
                  <w:caps w:val="false"/>
                  <w:smallCaps w:val="false"/>
                  <w:sz w:val="20"/>
                </w:rPr>
                <w:t>Form of Pre-Funded Warrant</w:t>
              </w:r>
            </w:hyperlink>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pPr>
            <w:hyperlink w:anchor="ex_576135.htm">
              <w:r>
                <w:rPr>
                  <w:rStyle w:val="InternetLink"/>
                  <w:rFonts w:ascii="Times New Roman;Times;serif" w:hAnsi="Times New Roman;Times;serif"/>
                  <w:caps w:val="false"/>
                  <w:smallCaps w:val="false"/>
                  <w:sz w:val="20"/>
                </w:rPr>
                <w:t>Form of T1 Warrant</w:t>
              </w:r>
            </w:hyperlink>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pPr>
            <w:hyperlink w:anchor="ex_576136.htm">
              <w:r>
                <w:rPr>
                  <w:rStyle w:val="InternetLink"/>
                  <w:rFonts w:ascii="Times New Roman;Times;serif" w:hAnsi="Times New Roman;Times;serif"/>
                  <w:caps w:val="false"/>
                  <w:smallCaps w:val="false"/>
                  <w:sz w:val="20"/>
                </w:rPr>
                <w:t>Form of T2 Warrant</w:t>
              </w:r>
            </w:hyperlink>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pPr>
            <w:hyperlink w:anchor="ex_576182.htm">
              <w:r>
                <w:rPr>
                  <w:rStyle w:val="InternetLink"/>
                  <w:rFonts w:ascii="Times New Roman;Times;serif" w:hAnsi="Times New Roman;Times;serif"/>
                  <w:caps w:val="false"/>
                  <w:smallCaps w:val="false"/>
                  <w:sz w:val="20"/>
                </w:rPr>
                <w:t>Opinion of Woodburn and Wedge</w:t>
              </w:r>
            </w:hyperlink>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pPr>
            <w:hyperlink w:anchor="ex_576182.htm">
              <w:r>
                <w:rPr>
                  <w:rStyle w:val="InternetLink"/>
                  <w:rFonts w:ascii="Times New Roman;Times;serif" w:hAnsi="Times New Roman;Times;serif"/>
                  <w:caps w:val="false"/>
                  <w:smallCaps w:val="false"/>
                  <w:sz w:val="20"/>
                </w:rPr>
                <w:t>Consent of Woodburn and Wedge (included in Exhibit 5.1)</w:t>
              </w:r>
            </w:hyperlink>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pPr>
            <w:hyperlink w:anchor="ex_576137.htm">
              <w:r>
                <w:rPr>
                  <w:rStyle w:val="InternetLink"/>
                  <w:rFonts w:ascii="Times New Roman;Times;serif" w:hAnsi="Times New Roman;Times;serif"/>
                  <w:caps w:val="false"/>
                  <w:smallCaps w:val="false"/>
                  <w:sz w:val="20"/>
                </w:rPr>
                <w:t>Investor Presentation</w:t>
              </w:r>
            </w:hyperlink>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pPr>
            <w:hyperlink w:anchor="ex_576138.htm">
              <w:r>
                <w:rPr>
                  <w:rStyle w:val="InternetLink"/>
                  <w:rFonts w:ascii="Times New Roman;Times;serif" w:hAnsi="Times New Roman;Times;serif"/>
                  <w:caps w:val="false"/>
                  <w:smallCaps w:val="false"/>
                  <w:sz w:val="20"/>
                </w:rPr>
                <w:t>Press Release</w:t>
              </w:r>
            </w:hyperlink>
          </w:p>
        </w:tc>
      </w:tr>
      <w:tr>
        <w:trPr/>
        <w:tc>
          <w:tcPr>
            <w:tcW w:w="86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28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19" w:type="dxa"/>
        <w:jc w:val="left"/>
        <w:tblInd w:w="0" w:type="dxa"/>
        <w:tblLayout w:type="fixed"/>
        <w:tblCellMar>
          <w:top w:w="0" w:type="dxa"/>
          <w:left w:w="0" w:type="dxa"/>
          <w:bottom w:w="0" w:type="dxa"/>
          <w:right w:w="0" w:type="dxa"/>
        </w:tblCellMar>
      </w:tblPr>
      <w:tblGrid>
        <w:gridCol w:w="1805"/>
        <w:gridCol w:w="327"/>
        <w:gridCol w:w="1987"/>
      </w:tblGrid>
      <w:tr>
        <w:trPr/>
        <w:tc>
          <w:tcPr>
            <w:tcW w:w="180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Vistagen Therapeutics, Inc.</w:t>
            </w:r>
          </w:p>
        </w:tc>
      </w:tr>
      <w:tr>
        <w:trPr/>
        <w:tc>
          <w:tcPr>
            <w:tcW w:w="180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4, 2023</w:t>
            </w:r>
          </w:p>
        </w:tc>
        <w:tc>
          <w:tcPr>
            <w:tcW w:w="3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180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tc>
      </w:tr>
      <w:tr>
        <w:trPr/>
        <w:tc>
          <w:tcPr>
            <w:tcW w:w="180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576126.htm"/>
      <w:bookmarkStart w:id="3" w:name="ksex_576126"/>
      <w:bookmarkEnd w:id="2"/>
      <w:bookmarkEnd w:id="3"/>
      <w:r>
        <w:rPr>
          <w:rFonts w:ascii="Times New Roman;Times;serif" w:hAnsi="Times New Roman;Times;serif"/>
          <w:b/>
          <w:sz w:val="20"/>
        </w:rPr>
        <w:t>Exhibit 1.1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15,010,810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Pre-Funded Warrants to Purchase 3,577,240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Tranche 1 Warrants to Purchase 9,294,022 Shares of Common Stock (or Pre-Funded Warrants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Tranche 2 Warrants to Purchase 11,265,086 Shares of Common Stock (or Pre-Funded Warrants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JEFFERIES LLC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STIFEL, NICOLAUS &amp; COMPANY, INCORPORATED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BLAIR &amp;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JEFFERIES LLC</w:t>
        <w:br/>
        <w:t>520 Madison Avenue</w:t>
        <w:b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STIFEL, NICOLAUS &amp; COMPANY, INCORPORATED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Montgomery Street, Suite 3700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 94104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WILLIAM BLAIR &amp; COMPANY, L.L.C.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150 North Riverside Plaza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Chicago, Illinois 60606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Vistagen Therapeutics, Inc., a Nevada corporation (the “</w:t>
      </w:r>
      <w:r>
        <w:rPr>
          <w:rFonts w:ascii="Times New Roman" w:hAnsi="Times New Roman"/>
          <w:b/>
          <w:caps w:val="false"/>
          <w:smallCaps w:val="false"/>
          <w:sz w:val="20"/>
        </w:rPr>
        <w:t>Company</w:t>
      </w:r>
      <w:r>
        <w:rPr>
          <w:rFonts w:ascii="Times New Roman" w:hAnsi="Times New Roman"/>
          <w:caps w:val="false"/>
          <w:smallCaps w:val="false"/>
          <w:sz w:val="20"/>
        </w:rPr>
        <w:t xml:space="preserve">”), proposes to issue and sell to the several underwriters named in </w:t>
      </w:r>
      <w:r>
        <w:rPr>
          <w:rFonts w:ascii="Times New Roman" w:hAnsi="Times New Roman"/>
          <w:caps w:val="false"/>
          <w:smallCaps w:val="false"/>
          <w:sz w:val="20"/>
          <w:u w:val="single"/>
        </w:rPr>
        <w:t>Schedule A</w:t>
      </w:r>
      <w:r>
        <w:rPr>
          <w:rFonts w:ascii="Times New Roman" w:hAnsi="Times New Roman"/>
          <w:caps w:val="false"/>
          <w:smallCaps w:val="false"/>
          <w:sz w:val="20"/>
        </w:rPr>
        <w:t xml:space="preserve"> (the “</w:t>
      </w:r>
      <w:r>
        <w:rPr>
          <w:rFonts w:ascii="Times New Roman" w:hAnsi="Times New Roman"/>
          <w:b/>
          <w:caps w:val="false"/>
          <w:smallCaps w:val="false"/>
          <w:sz w:val="20"/>
        </w:rPr>
        <w:t>Underwriters</w:t>
      </w:r>
      <w:r>
        <w:rPr>
          <w:rFonts w:ascii="Times New Roman" w:hAnsi="Times New Roman"/>
          <w:caps w:val="false"/>
          <w:smallCaps w:val="false"/>
          <w:sz w:val="20"/>
        </w:rPr>
        <w:t>”) (i) an aggregate of 15,010,810 shares (the “</w:t>
      </w:r>
      <w:r>
        <w:rPr>
          <w:rFonts w:ascii="Times New Roman" w:hAnsi="Times New Roman"/>
          <w:b/>
          <w:caps w:val="false"/>
          <w:smallCaps w:val="false"/>
          <w:sz w:val="20"/>
        </w:rPr>
        <w:t>Offered Shares</w:t>
      </w:r>
      <w:r>
        <w:rPr>
          <w:rFonts w:ascii="Times New Roman" w:hAnsi="Times New Roman"/>
          <w:caps w:val="false"/>
          <w:smallCaps w:val="false"/>
          <w:sz w:val="20"/>
        </w:rPr>
        <w:t>”) of its common stock, par value $0.001 per share (the “</w:t>
      </w:r>
      <w:r>
        <w:rPr>
          <w:rFonts w:ascii="Times New Roman" w:hAnsi="Times New Roman"/>
          <w:b/>
          <w:caps w:val="false"/>
          <w:smallCaps w:val="false"/>
          <w:sz w:val="20"/>
        </w:rPr>
        <w:t>Common Stock</w:t>
      </w:r>
      <w:r>
        <w:rPr>
          <w:rFonts w:ascii="Times New Roman" w:hAnsi="Times New Roman"/>
          <w:caps w:val="false"/>
          <w:smallCaps w:val="false"/>
          <w:sz w:val="20"/>
        </w:rPr>
        <w:t>”); (ii) pre-funded warrants to purchase 3,577,240 shares of Common Stock (the “</w:t>
      </w:r>
      <w:r>
        <w:rPr>
          <w:rFonts w:ascii="Times New Roman" w:hAnsi="Times New Roman"/>
          <w:b/>
          <w:caps w:val="false"/>
          <w:smallCaps w:val="false"/>
          <w:sz w:val="20"/>
        </w:rPr>
        <w:t>Pre-Funded Warrants</w:t>
      </w:r>
      <w:r>
        <w:rPr>
          <w:rFonts w:ascii="Times New Roman" w:hAnsi="Times New Roman"/>
          <w:caps w:val="false"/>
          <w:smallCaps w:val="false"/>
          <w:sz w:val="20"/>
        </w:rPr>
        <w:t>”); (iii) warrants to purchase 9,294,022 shares of Common Stock (or pre-funded warrants of the Company in lieu thereof) (the “</w:t>
      </w:r>
      <w:r>
        <w:rPr>
          <w:rFonts w:ascii="Times New Roman" w:hAnsi="Times New Roman"/>
          <w:b/>
          <w:caps w:val="false"/>
          <w:smallCaps w:val="false"/>
          <w:sz w:val="20"/>
        </w:rPr>
        <w:t>Tranche 1 Warrants</w:t>
      </w:r>
      <w:r>
        <w:rPr>
          <w:rFonts w:ascii="Times New Roman" w:hAnsi="Times New Roman"/>
          <w:caps w:val="false"/>
          <w:smallCaps w:val="false"/>
          <w:sz w:val="20"/>
        </w:rPr>
        <w:t>”); and (iv) warrants to purchase 11,265,086 shares of Common Stock (or pre-funded warrants of the Company in lieu thereof) (the “</w:t>
      </w:r>
      <w:r>
        <w:rPr>
          <w:rFonts w:ascii="Times New Roman" w:hAnsi="Times New Roman"/>
          <w:b/>
          <w:caps w:val="false"/>
          <w:smallCaps w:val="false"/>
          <w:sz w:val="20"/>
        </w:rPr>
        <w:t>Tranche 2 Warrants</w:t>
      </w:r>
      <w:r>
        <w:rPr>
          <w:rFonts w:ascii="Times New Roman" w:hAnsi="Times New Roman"/>
          <w:caps w:val="false"/>
          <w:smallCaps w:val="false"/>
          <w:sz w:val="20"/>
        </w:rPr>
        <w:t>” and, together with the Tranche 1 Warrants, the “</w:t>
      </w:r>
      <w:r>
        <w:rPr>
          <w:rFonts w:ascii="Times New Roman" w:hAnsi="Times New Roman"/>
          <w:b/>
          <w:caps w:val="false"/>
          <w:smallCaps w:val="false"/>
          <w:sz w:val="20"/>
        </w:rPr>
        <w:t>Common Warrants</w:t>
      </w:r>
      <w:r>
        <w:rPr>
          <w:rFonts w:ascii="Times New Roman" w:hAnsi="Times New Roman"/>
          <w:caps w:val="false"/>
          <w:smallCaps w:val="false"/>
          <w:sz w:val="20"/>
        </w:rPr>
        <w:t>”; the Common Warrants, together with the Pre-Funded Warrants, the “</w:t>
      </w:r>
      <w:r>
        <w:rPr>
          <w:rFonts w:ascii="Times New Roman" w:hAnsi="Times New Roman"/>
          <w:b/>
          <w:caps w:val="false"/>
          <w:smallCaps w:val="false"/>
          <w:sz w:val="20"/>
        </w:rPr>
        <w:t>Offered Warrants</w:t>
      </w:r>
      <w:r>
        <w:rPr>
          <w:rFonts w:ascii="Times New Roman" w:hAnsi="Times New Roman"/>
          <w:caps w:val="false"/>
          <w:smallCaps w:val="false"/>
          <w:sz w:val="20"/>
        </w:rPr>
        <w:t>”). The Offered Shares, the Pre-Funded Warrants, the Tranche 1 Warrants and the Tranche 2 Warrants to be sold by the Company are collectively referred to as the “</w:t>
      </w:r>
      <w:r>
        <w:rPr>
          <w:rFonts w:ascii="Times New Roman" w:hAnsi="Times New Roman"/>
          <w:b/>
          <w:caps w:val="false"/>
          <w:smallCaps w:val="false"/>
          <w:sz w:val="20"/>
        </w:rPr>
        <w:t>Offered Securities</w:t>
      </w:r>
      <w:r>
        <w:rPr>
          <w:rFonts w:ascii="Times New Roman" w:hAnsi="Times New Roman"/>
          <w:caps w:val="false"/>
          <w:smallCaps w:val="false"/>
          <w:sz w:val="20"/>
        </w:rPr>
        <w:t>.” Each Offered Share is being sold together with (i) a Tranche 1 Warrant to purchase one half share of Common Stock (or pre-funded warrants of the Company in lieu thereof) and (ii) a Tranche 2 Warrant to purchase 0.61 shares of Common Stock (or pre-funded warrants of the Company in lieu thereof); and each Pre-Funded Warrant is being sold together with (i) a Tranche 1 Warrant to purchase one half share of Common Stock (or pre-funded warrants of the Company in lieu thereof) and (ii) a Tranche 2 Warrant to purchase 0.61 shares of Common Stock (or pre-funded warrants of the Company in lieu thereof). Jefferies LLC (“</w:t>
      </w:r>
      <w:r>
        <w:rPr>
          <w:rFonts w:ascii="Times New Roman" w:hAnsi="Times New Roman"/>
          <w:b/>
          <w:caps w:val="false"/>
          <w:smallCaps w:val="false"/>
          <w:sz w:val="20"/>
        </w:rPr>
        <w:t>Jefferies</w:t>
      </w:r>
      <w:r>
        <w:rPr>
          <w:rFonts w:ascii="Times New Roman" w:hAnsi="Times New Roman"/>
          <w:caps w:val="false"/>
          <w:smallCaps w:val="false"/>
          <w:sz w:val="20"/>
        </w:rPr>
        <w:t>”), Stifel, Nicolaus &amp; Company, Incorporated and William Blair &amp; Company, L.L.C. have agreed to act as representatives of the several Underwriters (in such capacity, the “</w:t>
      </w:r>
      <w:r>
        <w:rPr>
          <w:rFonts w:ascii="Times New Roman" w:hAnsi="Times New Roman"/>
          <w:b/>
          <w:caps w:val="false"/>
          <w:smallCaps w:val="false"/>
          <w:sz w:val="20"/>
        </w:rPr>
        <w:t>Representatives</w:t>
      </w:r>
      <w:r>
        <w:rPr>
          <w:rFonts w:ascii="Times New Roman" w:hAnsi="Times New Roman"/>
          <w:caps w:val="false"/>
          <w:smallCaps w:val="false"/>
          <w:sz w:val="20"/>
        </w:rPr>
        <w:t xml:space="preserve">”) in connection with the offering and sale of the Offered Securities. To the extent there are no additional underwriters listed on </w:t>
      </w:r>
      <w:r>
        <w:rPr>
          <w:rFonts w:ascii="Times New Roman" w:hAnsi="Times New Roman"/>
          <w:caps w:val="false"/>
          <w:smallCaps w:val="false"/>
          <w:sz w:val="20"/>
          <w:u w:val="single"/>
        </w:rPr>
        <w:t>Schedule A</w:t>
      </w:r>
      <w:r>
        <w:rPr>
          <w:rFonts w:ascii="Times New Roman" w:hAnsi="Times New Roman"/>
          <w:caps w:val="false"/>
          <w:smallCaps w:val="false"/>
          <w:sz w:val="20"/>
        </w:rPr>
        <w:t>, the term “Representatives” as used herein shall mean you, as Underwriters, and the term “Underwriters” shall mean either the singular or the plural, as the context requires. As used herein, “</w:t>
      </w:r>
      <w:r>
        <w:rPr>
          <w:rFonts w:ascii="Times New Roman" w:hAnsi="Times New Roman"/>
          <w:b/>
          <w:caps w:val="false"/>
          <w:smallCaps w:val="false"/>
          <w:sz w:val="20"/>
        </w:rPr>
        <w:t>Warrant Shares</w:t>
      </w:r>
      <w:r>
        <w:rPr>
          <w:rFonts w:ascii="Times New Roman" w:hAnsi="Times New Roman"/>
          <w:caps w:val="false"/>
          <w:smallCaps w:val="false"/>
          <w:sz w:val="20"/>
        </w:rPr>
        <w:t>” means the shares of Common Stock issuable upon exercise of the Offered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prepared and filed with the Securities and Exchange Commission (the “</w:t>
      </w:r>
      <w:r>
        <w:rPr>
          <w:rFonts w:ascii="Times New Roman" w:hAnsi="Times New Roman"/>
          <w:b/>
          <w:caps w:val="false"/>
          <w:smallCaps w:val="false"/>
          <w:sz w:val="20"/>
        </w:rPr>
        <w:t>Commission</w:t>
      </w:r>
      <w:r>
        <w:rPr>
          <w:rFonts w:ascii="Times New Roman" w:hAnsi="Times New Roman"/>
          <w:caps w:val="false"/>
          <w:smallCaps w:val="false"/>
          <w:sz w:val="20"/>
        </w:rPr>
        <w:t>”) a shelf registration statement on Form S-3, File No. 333</w:t>
        <w:noBreakHyphen/>
        <w:t>254299, including a base prospectus (the “</w:t>
      </w:r>
      <w:r>
        <w:rPr>
          <w:rFonts w:ascii="Times New Roman" w:hAnsi="Times New Roman"/>
          <w:b/>
          <w:caps w:val="false"/>
          <w:smallCaps w:val="false"/>
          <w:sz w:val="20"/>
        </w:rPr>
        <w:t>Base Prospectus</w:t>
      </w:r>
      <w:r>
        <w:rPr>
          <w:rFonts w:ascii="Times New Roman" w:hAnsi="Times New Roman"/>
          <w:caps w:val="false"/>
          <w:smallCaps w:val="false"/>
          <w:sz w:val="20"/>
        </w:rPr>
        <w:t>”) to be used in connection with the public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hAnsi="Times New Roman"/>
          <w:b/>
          <w:caps w:val="false"/>
          <w:smallCaps w:val="false"/>
          <w:sz w:val="20"/>
        </w:rPr>
        <w:t>Securities Act</w:t>
      </w:r>
      <w:r>
        <w:rPr>
          <w:rFonts w:ascii="Times New Roman" w:hAnsi="Times New Roman"/>
          <w:caps w:val="false"/>
          <w:smallCaps w:val="false"/>
          <w:sz w:val="20"/>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 w:hAnsi="Times New Roman"/>
          <w:b/>
          <w:caps w:val="false"/>
          <w:smallCaps w:val="false"/>
          <w:sz w:val="20"/>
        </w:rPr>
        <w:t>Registration Statement</w:t>
      </w:r>
      <w:r>
        <w:rPr>
          <w:rFonts w:ascii="Times New Roman" w:hAnsi="Times New Roman"/>
          <w:caps w:val="false"/>
          <w:smallCaps w:val="false"/>
          <w:sz w:val="20"/>
        </w:rPr>
        <w:t>.” Any registration statement filed by the Company pursuant to Rule 462(b) under the Securities Act in connection with the offer and sale of the Offered Securities is called the “</w:t>
      </w:r>
      <w:r>
        <w:rPr>
          <w:rFonts w:ascii="Times New Roman" w:hAnsi="Times New Roman"/>
          <w:b/>
          <w:caps w:val="false"/>
          <w:smallCaps w:val="false"/>
          <w:sz w:val="20"/>
        </w:rPr>
        <w:t>Rule 462(b) Registration Statement</w:t>
      </w:r>
      <w:r>
        <w:rPr>
          <w:rFonts w:ascii="Times New Roman" w:hAnsi="Times New Roman"/>
          <w:caps w:val="false"/>
          <w:smallCaps w:val="false"/>
          <w:sz w:val="20"/>
        </w:rPr>
        <w:t>,” and from and after the date and time of filing of any such Rule 462(b) Registration Statement the term “Registration Statement” shall include the Rule 462(b) Registration Statement. Each preliminary prospectus supplement used in connection with the offering of the Offered Securities, if any, including the Base Prospectus, are collectively referred to herein as a “</w:t>
      </w:r>
      <w:r>
        <w:rPr>
          <w:rFonts w:ascii="Times New Roman" w:hAnsi="Times New Roman"/>
          <w:b/>
          <w:caps w:val="false"/>
          <w:smallCaps w:val="false"/>
          <w:sz w:val="20"/>
        </w:rPr>
        <w:t>preliminary prospectus</w:t>
      </w:r>
      <w:r>
        <w:rPr>
          <w:rFonts w:ascii="Times New Roman" w:hAnsi="Times New Roman"/>
          <w:caps w:val="false"/>
          <w:smallCaps w:val="false"/>
          <w:sz w:val="20"/>
        </w:rPr>
        <w:t>.” As used herein, the term “</w:t>
      </w:r>
      <w:r>
        <w:rPr>
          <w:rFonts w:ascii="Times New Roman" w:hAnsi="Times New Roman"/>
          <w:b/>
          <w:caps w:val="false"/>
          <w:smallCaps w:val="false"/>
          <w:sz w:val="20"/>
        </w:rPr>
        <w:t>Prospectus</w:t>
      </w:r>
      <w:r>
        <w:rPr>
          <w:rFonts w:ascii="Times New Roman" w:hAnsi="Times New Roman"/>
          <w:caps w:val="false"/>
          <w:smallCaps w:val="false"/>
          <w:sz w:val="20"/>
        </w:rPr>
        <w:t>” shall mean the prospectus supplement to the Base Prospectus that describes the Offered Securities and the offering thereof (the “</w:t>
      </w:r>
      <w:r>
        <w:rPr>
          <w:rFonts w:ascii="Times New Roman" w:hAnsi="Times New Roman"/>
          <w:b/>
          <w:caps w:val="false"/>
          <w:smallCaps w:val="false"/>
          <w:sz w:val="20"/>
        </w:rPr>
        <w:t>Prospectus Supplement</w:t>
      </w:r>
      <w:r>
        <w:rPr>
          <w:rFonts w:ascii="Times New Roman" w:hAnsi="Times New Roman"/>
          <w:caps w:val="false"/>
          <w:smallCaps w:val="false"/>
          <w:sz w:val="20"/>
        </w:rPr>
        <w:t>”), together with the Base Prospectus, in the form first used by the Underwriters to confirm sales of the Offered Securities or in the form first made available to the Underwriters by the Company to meet requests of purchasers pursuant to Rule 173 under the Securities Act. References herein to any preliminary prospectus and the Prospectus shall refer to both the prospectus supplement and the Base Prospectus components of such prospectus. As used herein, “</w:t>
      </w:r>
      <w:r>
        <w:rPr>
          <w:rFonts w:ascii="Times New Roman" w:hAnsi="Times New Roman"/>
          <w:b/>
          <w:caps w:val="false"/>
          <w:smallCaps w:val="false"/>
          <w:sz w:val="20"/>
        </w:rPr>
        <w:t>Applicable Time</w:t>
      </w:r>
      <w:r>
        <w:rPr>
          <w:rFonts w:ascii="Times New Roman" w:hAnsi="Times New Roman"/>
          <w:caps w:val="false"/>
          <w:smallCaps w:val="false"/>
          <w:sz w:val="20"/>
        </w:rPr>
        <w:t>” is 7:30 a.m. (New York City time) on October 2, 2023. As used herein, “</w:t>
      </w:r>
      <w:r>
        <w:rPr>
          <w:rFonts w:ascii="Times New Roman" w:hAnsi="Times New Roman"/>
          <w:b/>
          <w:caps w:val="false"/>
          <w:smallCaps w:val="false"/>
          <w:sz w:val="20"/>
        </w:rPr>
        <w:t>free writing prospectus</w:t>
      </w:r>
      <w:r>
        <w:rPr>
          <w:rFonts w:ascii="Times New Roman" w:hAnsi="Times New Roman"/>
          <w:caps w:val="false"/>
          <w:smallCaps w:val="false"/>
          <w:sz w:val="20"/>
        </w:rPr>
        <w:t>” has the meaning set forth in Rule 405 under the Securities Act, and “</w:t>
      </w:r>
      <w:r>
        <w:rPr>
          <w:rFonts w:ascii="Times New Roman" w:hAnsi="Times New Roman"/>
          <w:b/>
          <w:caps w:val="false"/>
          <w:smallCaps w:val="false"/>
          <w:sz w:val="20"/>
        </w:rPr>
        <w:t>Time of Sale Prospectus</w:t>
      </w:r>
      <w:r>
        <w:rPr>
          <w:rFonts w:ascii="Times New Roman" w:hAnsi="Times New Roman"/>
          <w:caps w:val="false"/>
          <w:smallCaps w:val="false"/>
          <w:sz w:val="20"/>
        </w:rPr>
        <w:t xml:space="preserve">” means the Base Prospectus, as amended or supplemented immediately prior to the Applicable Time, together with the free writing prospectuses, if any, identified in </w:t>
      </w:r>
      <w:r>
        <w:rPr>
          <w:rFonts w:ascii="Times New Roman" w:hAnsi="Times New Roman"/>
          <w:caps w:val="false"/>
          <w:smallCaps w:val="false"/>
          <w:sz w:val="20"/>
          <w:u w:val="single"/>
        </w:rPr>
        <w:t>Schedule B</w:t>
      </w:r>
      <w:r>
        <w:rPr>
          <w:rFonts w:ascii="Times New Roman" w:hAnsi="Times New Roman"/>
          <w:caps w:val="false"/>
          <w:smallCaps w:val="false"/>
          <w:sz w:val="20"/>
        </w:rPr>
        <w:t xml:space="preserve"> hereto and the pricing information set forth on </w:t>
      </w:r>
      <w:r>
        <w:rPr>
          <w:rFonts w:ascii="Times New Roman" w:hAnsi="Times New Roman"/>
          <w:caps w:val="false"/>
          <w:smallCaps w:val="false"/>
          <w:sz w:val="20"/>
          <w:u w:val="single"/>
        </w:rPr>
        <w:t>Schedule C</w:t>
      </w:r>
      <w:r>
        <w:rPr>
          <w:rFonts w:ascii="Times New Roman" w:hAnsi="Times New Roman"/>
          <w:caps w:val="false"/>
          <w:smallCaps w:val="false"/>
          <w:sz w:val="20"/>
        </w:rPr>
        <w:t xml:space="preserve"> hereto. As used herein, “</w:t>
      </w:r>
      <w:r>
        <w:rPr>
          <w:rFonts w:ascii="Times New Roman" w:hAnsi="Times New Roman"/>
          <w:b/>
          <w:caps w:val="false"/>
          <w:smallCaps w:val="false"/>
          <w:sz w:val="20"/>
        </w:rPr>
        <w:t>Road Show</w:t>
      </w:r>
      <w:r>
        <w:rPr>
          <w:rFonts w:ascii="Times New Roman" w:hAnsi="Times New Roman"/>
          <w:caps w:val="false"/>
          <w:smallCaps w:val="false"/>
          <w:sz w:val="20"/>
        </w:rPr>
        <w:t>” means a “road show” (as defined in Rule 433 under the Securities Act) relating to the offering of the Offered Securities contemplated hereby that is a “written communication” (as defined in Rule 405 under the Securities Act). “</w:t>
      </w:r>
      <w:r>
        <w:rPr>
          <w:rFonts w:ascii="Times New Roman" w:hAnsi="Times New Roman"/>
          <w:b/>
          <w:caps w:val="false"/>
          <w:smallCaps w:val="false"/>
          <w:sz w:val="20"/>
        </w:rPr>
        <w:t>Marketing Materials</w:t>
      </w:r>
      <w:r>
        <w:rPr>
          <w:rFonts w:ascii="Times New Roman" w:hAnsi="Times New Roman"/>
          <w:caps w:val="false"/>
          <w:smallCaps w:val="false"/>
          <w:sz w:val="20"/>
        </w:rPr>
        <w:t>” means any materials or information provided to investors by, or with the approval of, the Company in connection with the marketing of the offering of the Offered Securities, including any roadshow or investor presentations made to investors by the Company (whether in person or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references in this Agreement to the Registration Statement,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any preliminary prospectus, the Base Prospectus, the Time of Sale Prospectus or the Prospectus, as the case may be. All references in this Agreement to amendments or supplements to the Registration Statement,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hAnsi="Times New Roman"/>
          <w:b/>
          <w:caps w:val="false"/>
          <w:smallCaps w:val="false"/>
          <w:sz w:val="20"/>
        </w:rPr>
        <w:t>Exchange Act</w:t>
      </w:r>
      <w:r>
        <w:rPr>
          <w:rFonts w:ascii="Times New Roman" w:hAnsi="Times New Roman"/>
          <w:caps w:val="false"/>
          <w:smallCaps w:val="false"/>
          <w:sz w:val="20"/>
        </w:rPr>
        <w:t>”) that is or is deemed to be incorporated by reference in the Registration Statement, any preliminary prospectus, the Base Prospectus, or the Prospectus, as the case may be. All references in this Agreement to (i) the Registration Statement,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hAnsi="Times New Roman"/>
          <w:b/>
          <w:caps w:val="false"/>
          <w:smallCaps w:val="false"/>
          <w:sz w:val="20"/>
        </w:rPr>
        <w:t>EDGAR</w:t>
      </w:r>
      <w:r>
        <w:rPr>
          <w:rFonts w:ascii="Times New Roman" w:hAnsi="Times New Roman"/>
          <w:caps w:val="false"/>
          <w:smallCaps w:val="false"/>
          <w:sz w:val="20"/>
        </w:rPr>
        <w:t>”) and (ii) the Prospectus shall be deemed to include any “electronic Prospectus” provided for use in connection with the offering of the Offered Securities as contemplated by Section 3(n)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hereby confirms its agreements with the Underwriters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t>    </w:t>
      </w:r>
      <w:r>
        <w:rPr>
          <w:rFonts w:ascii="Times New Roman" w:hAnsi="Times New Roman"/>
          <w:b/>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hereby represents, warrants and covenants to each Underwriter, as of the date of this Agreement and as of the Closing Date (as hereinafter defined),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xml:space="preserve">          </w:t>
      </w:r>
      <w:r>
        <w:rPr>
          <w:rFonts w:ascii="Times New Roman" w:hAnsi="Times New Roman"/>
          <w:b/>
          <w:i/>
          <w:caps w:val="false"/>
          <w:smallCaps w:val="false"/>
          <w:sz w:val="20"/>
        </w:rPr>
        <w:t>Compliance with Registration Requirements</w:t>
      </w:r>
      <w:r>
        <w:rPr>
          <w:rFonts w:ascii="Times New Roman" w:hAnsi="Times New Roman"/>
          <w:b/>
          <w:caps w:val="false"/>
          <w:smallCaps w:val="false"/>
          <w:sz w:val="20"/>
        </w:rPr>
        <w:t>.</w:t>
      </w:r>
      <w:r>
        <w:rPr>
          <w:rFonts w:ascii="Times New Roman" w:hAnsi="Times New Roman"/>
          <w:caps w:val="false"/>
          <w:smallCaps w:val="false"/>
          <w:sz w:val="20"/>
        </w:rPr>
        <w:t xml:space="preserve">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fiscal year ended March 31, 2023 (the “</w:t>
      </w:r>
      <w:r>
        <w:rPr>
          <w:rFonts w:ascii="Times New Roman" w:hAnsi="Times New Roman"/>
          <w:b/>
          <w:caps w:val="false"/>
          <w:smallCaps w:val="false"/>
          <w:sz w:val="20"/>
        </w:rPr>
        <w:t>Annual Report</w:t>
      </w:r>
      <w:r>
        <w:rPr>
          <w:rFonts w:ascii="Times New Roman" w:hAnsi="Times New Roman"/>
          <w:caps w:val="false"/>
          <w:smallCaps w:val="false"/>
          <w:sz w:val="20"/>
        </w:rPr>
        <w: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i/>
          <w:caps w:val="false"/>
          <w:smallCaps w:val="false"/>
          <w:sz w:val="20"/>
        </w:rPr>
        <w:t>Disclosure</w:t>
      </w:r>
      <w:r>
        <w:rPr>
          <w:rFonts w:ascii="Times New Roman" w:hAnsi="Times New Roman"/>
          <w:b/>
          <w:caps w:val="false"/>
          <w:smallCaps w:val="false"/>
          <w:sz w:val="20"/>
        </w:rPr>
        <w:t>.</w:t>
      </w:r>
      <w:r>
        <w:rPr>
          <w:rFonts w:ascii="Times New Roman" w:hAnsi="Times New Roman"/>
          <w:caps w:val="false"/>
          <w:smallCaps w:val="false"/>
          <w:sz w:val="20"/>
        </w:rPr>
        <w:t xml:space="preserve"> Each preliminary prospectus and the Prospectus when filed complied, in all material respects, with the Securities Act and, if filed by electronic transmission pursuant to EDGAR, was identical (except as may be permitted by Regulation S</w:t>
        <w:noBreakHyphen/>
        <w:t>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xml:space="preserve">          </w:t>
      </w:r>
      <w:r>
        <w:rPr>
          <w:rFonts w:ascii="Times New Roman" w:hAnsi="Times New Roman"/>
          <w:b/>
          <w:i/>
          <w:caps w:val="false"/>
          <w:smallCaps w:val="false"/>
          <w:sz w:val="20"/>
        </w:rPr>
        <w:t>Free Writing Prospectuses; Road Show</w:t>
      </w:r>
      <w:r>
        <w:rPr>
          <w:rFonts w:ascii="Times New Roman" w:hAnsi="Times New Roman"/>
          <w:b/>
          <w:caps w:val="false"/>
          <w:smallCaps w:val="false"/>
          <w:sz w:val="20"/>
        </w:rPr>
        <w:t>.</w:t>
      </w:r>
      <w:r>
        <w:rPr>
          <w:rFonts w:ascii="Times New Roman" w:hAnsi="Times New Roman"/>
          <w:caps w:val="false"/>
          <w:smallCaps w:val="false"/>
          <w:sz w:val="20"/>
        </w:rPr>
        <w:t xml:space="preserve"> As of the determination date referenced in Rule 164(h) under the Securities Act, the Company was not, is not or will not be (as applicable) an “ineligible issuer” in connection with the offering of the Offered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Securities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 w:hAnsi="Times New Roman"/>
          <w:caps w:val="false"/>
          <w:smallCaps w:val="false"/>
          <w:sz w:val="20"/>
          <w:u w:val="single"/>
        </w:rPr>
        <w:t>Schedule B</w:t>
      </w:r>
      <w:r>
        <w:rPr>
          <w:rFonts w:ascii="Times New Roman" w:hAnsi="Times New Roman"/>
          <w:caps w:val="false"/>
          <w:smallCaps w:val="false"/>
          <w:sz w:val="20"/>
        </w:rPr>
        <w:t>, and electronic road shows, if any, furnished to you before first use, the Company has not prepared, used or referred to, and will not, without your prior written consent, which consent shall not be unreasonably withheld,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Distribution of Offering Material By the Company</w:t>
      </w:r>
      <w:r>
        <w:rPr>
          <w:rFonts w:ascii="Times New Roman" w:hAnsi="Times New Roman"/>
          <w:b/>
          <w:caps w:val="false"/>
          <w:smallCaps w:val="false"/>
          <w:sz w:val="20"/>
        </w:rPr>
        <w:t>.</w:t>
      </w:r>
      <w:r>
        <w:rPr>
          <w:rFonts w:ascii="Times New Roman" w:hAnsi="Times New Roman"/>
          <w:caps w:val="false"/>
          <w:smallCaps w:val="false"/>
          <w:sz w:val="20"/>
        </w:rPr>
        <w:t xml:space="preserve"> Prior to the completion of the Underwriters’ distribution of the Offered Securities</w:t>
      </w:r>
      <w:r>
        <w:rPr>
          <w:rFonts w:ascii="Times New Roman" w:hAnsi="Times New Roman"/>
          <w:b/>
          <w:caps w:val="false"/>
          <w:smallCaps w:val="false"/>
          <w:sz w:val="20"/>
        </w:rPr>
        <w:t>,</w:t>
      </w:r>
      <w:r>
        <w:rPr>
          <w:rFonts w:ascii="Times New Roman" w:hAnsi="Times New Roman"/>
          <w:caps w:val="false"/>
          <w:smallCaps w:val="false"/>
          <w:sz w:val="20"/>
        </w:rPr>
        <w:t xml:space="preserve"> the Company has not distributed and will not distribute any offering material in connection with the offering and sale of the Offered Securities other than the Registration Statement, the Time of Sale Prospectus, the Prospectus or any free writing prospectus reviewed and consented to by the Representatives, which consent shall not be unreasonably withheld, the free writing prospectuses, if any, identified on </w:t>
      </w:r>
      <w:r>
        <w:rPr>
          <w:rFonts w:ascii="Times New Roman" w:hAnsi="Times New Roman"/>
          <w:caps w:val="false"/>
          <w:smallCaps w:val="false"/>
          <w:sz w:val="20"/>
          <w:u w:val="single"/>
        </w:rPr>
        <w:t>Schedule B</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xml:space="preserve">          </w:t>
      </w:r>
      <w:r>
        <w:rPr>
          <w:rFonts w:ascii="Times New Roman" w:hAnsi="Times New Roman"/>
          <w:b/>
          <w:i/>
          <w:caps w:val="false"/>
          <w:smallCaps w:val="false"/>
          <w:sz w:val="20"/>
        </w:rPr>
        <w:t>The Underwriting Agreement</w:t>
      </w:r>
      <w:r>
        <w:rPr>
          <w:rFonts w:ascii="Times New Roman" w:hAnsi="Times New Roman"/>
          <w:b/>
          <w:caps w:val="false"/>
          <w:smallCaps w:val="false"/>
          <w:sz w:val="20"/>
        </w:rPr>
        <w:t>.</w:t>
      </w:r>
      <w:r>
        <w:rPr>
          <w:rFonts w:ascii="Times New Roman" w:hAnsi="Times New Roman"/>
          <w:caps w:val="false"/>
          <w:smallCaps w:val="false"/>
          <w:sz w:val="20"/>
        </w:rPr>
        <w:t xml:space="preserve">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w:t>
      </w:r>
      <w:r>
        <w:rPr>
          <w:rFonts w:ascii="Times New Roman" w:hAnsi="Times New Roman"/>
          <w:b/>
          <w:i/>
          <w:caps w:val="false"/>
          <w:smallCaps w:val="false"/>
          <w:sz w:val="20"/>
        </w:rPr>
        <w:t>Authorization of the Offered Securities</w:t>
      </w:r>
      <w:r>
        <w:rPr>
          <w:rFonts w:ascii="Times New Roman" w:hAnsi="Times New Roman"/>
          <w:b/>
          <w:caps w:val="false"/>
          <w:smallCaps w:val="false"/>
          <w:sz w:val="20"/>
        </w:rPr>
        <w:t>.</w:t>
      </w:r>
      <w:r>
        <w:rPr>
          <w:rFonts w:ascii="Times New Roman" w:hAnsi="Times New Roman"/>
          <w:caps w:val="false"/>
          <w:smallCaps w:val="false"/>
          <w:sz w:val="20"/>
        </w:rPr>
        <w:t xml:space="preserve"> The Offered Shares have been duly authorized by the Company for issuance and sale pursuant to this Agreement and, 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 The Offered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Offered Warrants in a number sufficient to meet the current exercise requirements. The Warrant Shares, when issued and delivered upon exercise of the Pre-Funded Warrants and the Common Warrants, as applicable, and in accordance therewith, will be validly issued, fully paid and nonassessable, and the issuance of the Warrant Shares, is not subject to any preemptive rights, rights of first refusal or other similar rights to subscribe for or purchase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(h)</w:t>
      </w:r>
      <w:r>
        <w:rPr>
          <w:rFonts w:ascii="Times New Roman" w:hAnsi="Times New Roman"/>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i/>
          <w:caps w:val="false"/>
          <w:smallCaps w:val="false"/>
          <w:sz w:val="20"/>
        </w:rPr>
        <w:t>No Applicable Registration or Other Similar Rights</w:t>
      </w:r>
      <w:r>
        <w:rPr>
          <w:rFonts w:ascii="Times New Roman" w:hAnsi="Times New Roman"/>
          <w:b/>
          <w:caps w:val="false"/>
          <w:smallCaps w:val="false"/>
          <w:sz w:val="20"/>
        </w:rPr>
        <w:t>.</w:t>
      </w:r>
      <w:r>
        <w:rPr>
          <w:rFonts w:ascii="Times New Roman" w:hAnsi="Times New Roman"/>
          <w:caps w:val="false"/>
          <w:smallCaps w:val="false"/>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(j)</w:t>
      </w:r>
      <w:r>
        <w:rPr>
          <w:rFonts w:ascii="Times New Roman" w:hAnsi="Times New Roman"/>
          <w:caps w:val="false"/>
          <w:smallCaps w:val="false"/>
          <w:sz w:val="20"/>
        </w:rPr>
        <w:t>           </w:t>
      </w:r>
      <w:r>
        <w:rPr>
          <w:rFonts w:ascii="Times New Roman" w:hAnsi="Times New Roman"/>
          <w:b/>
          <w:i/>
          <w:caps w:val="false"/>
          <w:smallCaps w:val="false"/>
          <w:sz w:val="20"/>
        </w:rPr>
        <w:t>No Material Adverse Change</w:t>
      </w:r>
      <w:r>
        <w:rPr>
          <w:rFonts w:ascii="Times New Roman" w:hAnsi="Times New Roman"/>
          <w:b/>
          <w:caps w:val="false"/>
          <w:smallCaps w:val="false"/>
          <w:sz w:val="20"/>
        </w:rPr>
        <w:t>.</w:t>
      </w:r>
      <w:r>
        <w:rPr>
          <w:rFonts w:ascii="Times New Roman" w:hAnsi="Times New Roman"/>
          <w:caps w:val="false"/>
          <w:smallCaps w:val="false"/>
          <w:sz w:val="20"/>
        </w:rPr>
        <w:t xml:space="preserve"> 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hAnsi="Times New Roman"/>
          <w:b/>
          <w:caps w:val="false"/>
          <w:smallCaps w:val="false"/>
          <w:sz w:val="20"/>
        </w:rPr>
        <w:t>Material Adverse Change</w:t>
      </w:r>
      <w:r>
        <w:rPr>
          <w:rFonts w:ascii="Times New Roman" w:hAnsi="Times New Roman"/>
          <w:caps w:val="false"/>
          <w:smallCaps w:val="false"/>
          <w:sz w:val="20"/>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(k)</w:t>
      </w:r>
      <w:r>
        <w:rPr>
          <w:rFonts w:ascii="Times New Roman" w:hAnsi="Times New Roman"/>
          <w:caps w:val="false"/>
          <w:smallCaps w:val="false"/>
          <w:sz w:val="20"/>
        </w:rPr>
        <w:t xml:space="preserve">          </w:t>
      </w:r>
      <w:r>
        <w:rPr>
          <w:rFonts w:ascii="Times New Roman" w:hAnsi="Times New Roman"/>
          <w:b/>
          <w:i/>
          <w:caps w:val="false"/>
          <w:smallCaps w:val="false"/>
          <w:sz w:val="20"/>
        </w:rPr>
        <w:t>Independent Accountants</w:t>
      </w:r>
      <w:r>
        <w:rPr>
          <w:rFonts w:ascii="Times New Roman" w:hAnsi="Times New Roman"/>
          <w:b/>
          <w:caps w:val="false"/>
          <w:smallCaps w:val="false"/>
          <w:sz w:val="20"/>
        </w:rPr>
        <w:t>.</w:t>
      </w:r>
      <w:r>
        <w:rPr>
          <w:rFonts w:ascii="Times New Roman" w:hAnsi="Times New Roman"/>
          <w:caps w:val="false"/>
          <w:smallCaps w:val="false"/>
          <w:sz w:val="20"/>
        </w:rPr>
        <w:t xml:space="preserve"> WithumSmith+Brown, PC, which has expressed its opinion with respect to the consolidated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 w:hAnsi="Times New Roman"/>
          <w:b/>
          <w:caps w:val="false"/>
          <w:smallCaps w:val="false"/>
          <w:sz w:val="20"/>
        </w:rPr>
        <w:t>PCAOB</w:t>
      </w:r>
      <w:r>
        <w:rPr>
          <w:rFonts w:ascii="Times New Roman" w:hAnsi="Times New Roman"/>
          <w:caps w:val="false"/>
          <w:smallCaps w:val="false"/>
          <w:sz w:val="20"/>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(l)</w:t>
      </w:r>
      <w:r>
        <w:rPr>
          <w:rFonts w:ascii="Times New Roman" w:hAnsi="Times New Roman"/>
          <w:caps w:val="false"/>
          <w:smallCaps w:val="false"/>
          <w:sz w:val="20"/>
        </w:rPr>
        <w:t>           </w:t>
      </w:r>
      <w:r>
        <w:rPr>
          <w:rFonts w:ascii="Times New Roman" w:hAnsi="Times New Roman"/>
          <w:b/>
          <w:i/>
          <w:caps w:val="false"/>
          <w:smallCaps w:val="false"/>
          <w:sz w:val="20"/>
        </w:rPr>
        <w:t>Financial Statements</w:t>
      </w:r>
      <w:r>
        <w:rPr>
          <w:rFonts w:ascii="Times New Roman" w:hAnsi="Times New Roman"/>
          <w:b/>
          <w:caps w:val="false"/>
          <w:smallCaps w:val="false"/>
          <w:sz w:val="20"/>
        </w:rPr>
        <w:t>.</w:t>
      </w:r>
      <w:r>
        <w:rPr>
          <w:rFonts w:ascii="Times New Roman" w:hAnsi="Times New Roman"/>
          <w:caps w:val="false"/>
          <w:smallCaps w:val="false"/>
          <w:sz w:val="20"/>
        </w:rPr>
        <w:t xml:space="preserve"> The financial statements filed with the Commission as a part of the Registration Statement, the Time of Sale Prospectus and the Prospectus present fairly, in all material respects, the consolidated financial position of the Company and its subsidiaries as of the dates indicated and the results of their operations, changes in stockholders’ equity and cash flows for the periods specified. The supporting schedules included in the Registration Statement present fairly the information required to be stated therein. Such financial statements and supporting schedules have been prepared in conformity with generally accepted accounting principles as applied in the United States (“</w:t>
      </w:r>
      <w:r>
        <w:rPr>
          <w:rFonts w:ascii="Times New Roman" w:hAnsi="Times New Roman"/>
          <w:b/>
          <w:caps w:val="false"/>
          <w:smallCaps w:val="false"/>
          <w:sz w:val="20"/>
        </w:rPr>
        <w:t>GAAP</w:t>
      </w:r>
      <w:r>
        <w:rPr>
          <w:rFonts w:ascii="Times New Roman" w:hAnsi="Times New Roman"/>
          <w:caps w:val="false"/>
          <w:smallCaps w:val="false"/>
          <w:sz w:val="20"/>
        </w:rPr>
        <w:t>”)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 “Capitalization” fairly present, in all material respects, the information set forth therein on a basis consistent with that of the audited financial statements contained in the Registration Statement, the Time of Sale Prospectus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(m)</w:t>
      </w:r>
      <w:r>
        <w:rPr>
          <w:rFonts w:ascii="Times New Roman" w:hAnsi="Times New Roman"/>
          <w:caps w:val="false"/>
          <w:smallCaps w:val="false"/>
          <w:sz w:val="20"/>
        </w:rPr>
        <w:t xml:space="preserve">        </w:t>
      </w:r>
      <w:r>
        <w:rPr>
          <w:rFonts w:ascii="Times New Roman" w:hAnsi="Times New Roman"/>
          <w:b/>
          <w:i/>
          <w:caps w:val="false"/>
          <w:smallCaps w:val="false"/>
          <w:sz w:val="20"/>
        </w:rPr>
        <w:t>Company</w:t>
      </w:r>
      <w:r>
        <w:rPr>
          <w:rFonts w:ascii="Times New Roman" w:hAnsi="Times New Roman"/>
          <w:caps w:val="false"/>
          <w:smallCaps w:val="false"/>
          <w:sz w:val="20"/>
        </w:rPr>
        <w:t>’</w:t>
      </w:r>
      <w:r>
        <w:rPr>
          <w:rFonts w:ascii="Times New Roman" w:hAnsi="Times New Roman"/>
          <w:b/>
          <w:i/>
          <w:caps w:val="false"/>
          <w:smallCaps w:val="false"/>
          <w:sz w:val="20"/>
        </w:rPr>
        <w:t>s Accounting System</w:t>
      </w:r>
      <w:r>
        <w:rPr>
          <w:rFonts w:ascii="Times New Roman" w:hAnsi="Times New Roman"/>
          <w:b/>
          <w:caps w:val="false"/>
          <w:smallCaps w:val="false"/>
          <w:sz w:val="20"/>
        </w:rPr>
        <w:t>.</w:t>
      </w:r>
      <w:r>
        <w:rPr>
          <w:rFonts w:ascii="Times New Roman" w:hAnsi="Times New Roman"/>
          <w:caps w:val="false"/>
          <w:smallCaps w:val="false"/>
          <w:sz w:val="20"/>
        </w:rPr>
        <w:t xml:space="preserve"> The Company and each of its subsidiaries make and keep books and records that are accurate, in all material respects,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(n)</w:t>
      </w:r>
      <w:r>
        <w:rPr>
          <w:rFonts w:ascii="Times New Roman" w:hAnsi="Times New Roman"/>
          <w:caps w:val="false"/>
          <w:smallCaps w:val="false"/>
          <w:sz w:val="20"/>
        </w:rPr>
        <w:t xml:space="preserve">          </w:t>
      </w:r>
      <w:r>
        <w:rPr>
          <w:rFonts w:ascii="Times New Roman" w:hAnsi="Times New Roman"/>
          <w:b/>
          <w:i/>
          <w:caps w:val="false"/>
          <w:smallCaps w:val="false"/>
          <w:sz w:val="20"/>
        </w:rPr>
        <w:t>Disclosure Controls and Procedures; Deficiencies in or Changes to Internal Control Over Financial Reporting</w:t>
      </w:r>
      <w:r>
        <w:rPr>
          <w:rFonts w:ascii="Times New Roman" w:hAnsi="Times New Roman"/>
          <w:b/>
          <w:caps w:val="false"/>
          <w:smallCaps w:val="false"/>
          <w:sz w:val="20"/>
        </w:rPr>
        <w:t>.</w:t>
      </w:r>
      <w:r>
        <w:rPr>
          <w:rFonts w:ascii="Times New Roman" w:hAnsi="Times New Roman"/>
          <w:caps w:val="false"/>
          <w:smallCaps w:val="false"/>
          <w:sz w:val="20"/>
        </w:rPr>
        <w:t xml:space="preserve">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(as defined in Rule 13a-15(f) under the Exchange Act).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(o)</w:t>
      </w:r>
      <w:r>
        <w:rPr>
          <w:rFonts w:ascii="Times New Roman" w:hAnsi="Times New Roman"/>
          <w:caps w:val="false"/>
          <w:smallCaps w:val="false"/>
          <w:sz w:val="20"/>
        </w:rPr>
        <w:t xml:space="preserve">          </w:t>
      </w:r>
      <w:r>
        <w:rPr>
          <w:rFonts w:ascii="Times New Roman" w:hAnsi="Times New Roman"/>
          <w:b/>
          <w:i/>
          <w:caps w:val="false"/>
          <w:smallCaps w:val="false"/>
          <w:sz w:val="20"/>
        </w:rPr>
        <w:t>Incorporation and Good Standing of the Company</w:t>
      </w:r>
      <w:r>
        <w:rPr>
          <w:rFonts w:ascii="Times New Roman" w:hAnsi="Times New Roman"/>
          <w:b/>
          <w:caps w:val="false"/>
          <w:smallCaps w:val="false"/>
          <w:sz w:val="20"/>
        </w:rPr>
        <w:t>.</w:t>
      </w:r>
      <w:r>
        <w:rPr>
          <w:rFonts w:ascii="Times New Roman" w:hAnsi="Times New Roman"/>
          <w:caps w:val="false"/>
          <w:smallCaps w:val="false"/>
          <w:sz w:val="20"/>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jurisdiction of its principal place of business and each other jurisdiction in which such qualification is required, whether by reason of the ownership or leasing of property or the conduct of business, except where the failure to qualify would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(p)</w:t>
      </w:r>
      <w:r>
        <w:rPr>
          <w:rFonts w:ascii="Times New Roman" w:hAnsi="Times New Roman"/>
          <w:caps w:val="false"/>
          <w:smallCaps w:val="false"/>
          <w:sz w:val="20"/>
        </w:rPr>
        <w:t xml:space="preserve">          </w:t>
      </w:r>
      <w:r>
        <w:rPr>
          <w:rFonts w:ascii="Times New Roman" w:hAnsi="Times New Roman"/>
          <w:b/>
          <w:i/>
          <w:caps w:val="false"/>
          <w:smallCaps w:val="false"/>
          <w:sz w:val="20"/>
        </w:rPr>
        <w:t>Subsidiaries</w:t>
      </w:r>
      <w:r>
        <w:rPr>
          <w:rFonts w:ascii="Times New Roman" w:hAnsi="Times New Roman"/>
          <w:b/>
          <w:caps w:val="false"/>
          <w:smallCaps w:val="false"/>
          <w:sz w:val="20"/>
        </w:rPr>
        <w:t>.</w:t>
      </w:r>
      <w:r>
        <w:rPr>
          <w:rFonts w:ascii="Times New Roman" w:hAnsi="Times New Roman"/>
          <w:caps w:val="false"/>
          <w:smallCaps w:val="false"/>
          <w:sz w:val="20"/>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qualify would not reasonably be expected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w:t>
      </w:r>
      <w:r>
        <w:rPr>
          <w:rFonts w:ascii="Times New Roman" w:hAnsi="Times New Roman"/>
          <w:caps w:val="false"/>
          <w:smallCaps w:val="false"/>
          <w:sz w:val="20"/>
          <w:u w:val="single"/>
        </w:rPr>
        <w:t>Schedule D</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(q)</w:t>
      </w:r>
      <w:r>
        <w:rPr>
          <w:rFonts w:ascii="Times New Roman" w:hAnsi="Times New Roman"/>
          <w:caps w:val="false"/>
          <w:smallCaps w:val="false"/>
          <w:sz w:val="20"/>
        </w:rPr>
        <w:t>         </w:t>
      </w:r>
      <w:r>
        <w:rPr>
          <w:rFonts w:ascii="Times New Roman" w:hAnsi="Times New Roman"/>
          <w:b/>
          <w:i/>
          <w:caps w:val="false"/>
          <w:smallCaps w:val="false"/>
          <w:sz w:val="20"/>
        </w:rPr>
        <w:t>Capitalization and Other Capital Stock Matters</w:t>
      </w:r>
      <w:r>
        <w:rPr>
          <w:rFonts w:ascii="Times New Roman" w:hAnsi="Times New Roman"/>
          <w:b/>
          <w:caps w:val="false"/>
          <w:smallCaps w:val="false"/>
          <w:sz w:val="20"/>
        </w:rPr>
        <w:t>.</w:t>
      </w:r>
      <w:r>
        <w:rPr>
          <w:rFonts w:ascii="Times New Roman" w:hAnsi="Times New Roman"/>
          <w:caps w:val="false"/>
          <w:smallCaps w:val="false"/>
          <w:sz w:val="20"/>
        </w:rPr>
        <w:t xml:space="preserve"> The authorized, issued and outstanding capital stock of the Company is as set forth in the Registration Statement, the Time of Sale Prospectus and the Prospectus under the caption “Capitalization” (other than for subsequent issuances, if any, pursuant to employee benefit plans, or upon the exercise of outstanding options or warrants, in each case as described in the Registration Statement, the Time of Sale Prospectus and the Prospectus). The Offered Securities (including the Warrant Shares) are consistent, in all material respects, to the description thereof contained in the Time of Sale Prospectus. All of the issued and outstanding shares of Common Stock have been duly authorized and validly issued, are fully paid and nonassessable and have been issued in compliance with all federal and state securities laws. None of the outstanding shares of Common Stock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(r)</w:t>
      </w:r>
      <w:r>
        <w:rPr>
          <w:rFonts w:ascii="Times New Roman" w:hAnsi="Times New Roman"/>
          <w:caps w:val="false"/>
          <w:smallCaps w:val="false"/>
          <w:sz w:val="20"/>
        </w:rPr>
        <w:t xml:space="preserve">          </w:t>
      </w:r>
      <w:r>
        <w:rPr>
          <w:rFonts w:ascii="Times New Roman" w:hAnsi="Times New Roman"/>
          <w:b/>
          <w:i/>
          <w:caps w:val="false"/>
          <w:smallCaps w:val="false"/>
          <w:sz w:val="20"/>
        </w:rPr>
        <w:t>Stock Exchange Listing</w:t>
      </w:r>
      <w:r>
        <w:rPr>
          <w:rFonts w:ascii="Times New Roman" w:hAnsi="Times New Roman"/>
          <w:b/>
          <w:caps w:val="false"/>
          <w:smallCaps w:val="false"/>
          <w:sz w:val="20"/>
        </w:rPr>
        <w:t>.</w:t>
      </w:r>
      <w:r>
        <w:rPr>
          <w:rFonts w:ascii="Times New Roman" w:hAnsi="Times New Roman"/>
          <w:caps w:val="false"/>
          <w:smallCaps w:val="false"/>
          <w:sz w:val="20"/>
        </w:rPr>
        <w:t xml:space="preserve"> The shares of Common Stock and the Warrant Shares are registered pursuant to Section 12(b) or 12(g) of the Exchange Act and are listed on the Nasdaq Capital Market (the “</w:t>
      </w:r>
      <w:r>
        <w:rPr>
          <w:rFonts w:ascii="Times New Roman" w:hAnsi="Times New Roman"/>
          <w:b/>
          <w:caps w:val="false"/>
          <w:smallCaps w:val="false"/>
          <w:sz w:val="20"/>
        </w:rPr>
        <w:t>Nasdaq</w:t>
      </w:r>
      <w:r>
        <w:rPr>
          <w:rFonts w:ascii="Times New Roman" w:hAnsi="Times New Roman"/>
          <w:caps w:val="false"/>
          <w:smallCaps w:val="false"/>
          <w:sz w:val="20"/>
        </w:rPr>
        <w:t>”), and the Company has taken no action designed to, or likely to have the effect of, terminating the registration of the Offered Securities under the Exchange Act or delisting the shares of Common Stock from the Nasdaq, has the Company received any notification that the Commission or the Nasdaq is contemplating terminating such registration or listing. To the Company’s knowledge, it is in compliance with all applicable listing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w:t>
      </w:r>
      <w:r>
        <w:rPr>
          <w:rFonts w:ascii="Times New Roman" w:hAnsi="Times New Roman"/>
          <w:caps w:val="false"/>
          <w:smallCaps w:val="false"/>
          <w:sz w:val="20"/>
        </w:rPr>
        <w:t>           </w:t>
      </w:r>
      <w:r>
        <w:rPr>
          <w:rFonts w:ascii="Times New Roman" w:hAnsi="Times New Roman"/>
          <w:b/>
          <w:i/>
          <w:caps w:val="false"/>
          <w:smallCaps w:val="false"/>
          <w:sz w:val="20"/>
        </w:rPr>
        <w:t>Non-Contravention of Existing Instruments; No Further Authorizations or Approvals Required</w:t>
      </w:r>
      <w:r>
        <w:rPr>
          <w:rFonts w:ascii="Times New Roman" w:hAnsi="Times New Roman"/>
          <w:b/>
          <w:caps w:val="false"/>
          <w:smallCaps w:val="false"/>
          <w:sz w:val="20"/>
        </w:rPr>
        <w:t>.</w:t>
      </w:r>
      <w:r>
        <w:rPr>
          <w:rFonts w:ascii="Times New Roman" w:hAnsi="Times New Roman"/>
          <w:caps w:val="false"/>
          <w:smallCaps w:val="false"/>
          <w:sz w:val="20"/>
        </w:rPr>
        <w:t xml:space="preserve"> Neither the Company nor any of its subsidiaries is in violation of its charter or by</w:t>
        <w:noBreakHyphen/>
        <w:t>laws, partnership agreement or operating agreement or similar organizational documents, as applicable, or is in default (or, with the giving of notice or lapse of time, would be in default) (“</w:t>
      </w:r>
      <w:r>
        <w:rPr>
          <w:rFonts w:ascii="Times New Roman" w:hAnsi="Times New Roman"/>
          <w:b/>
          <w:caps w:val="false"/>
          <w:smallCaps w:val="false"/>
          <w:sz w:val="20"/>
        </w:rPr>
        <w:t>Default</w:t>
      </w:r>
      <w:r>
        <w:rPr>
          <w:rFonts w:ascii="Times New Roman" w:hAnsi="Times New Roman"/>
          <w:caps w:val="false"/>
          <w:smallCaps w:val="false"/>
          <w:sz w:val="20"/>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hAnsi="Times New Roman"/>
          <w:b/>
          <w:caps w:val="false"/>
          <w:smallCaps w:val="false"/>
          <w:sz w:val="20"/>
        </w:rPr>
        <w:t>Existing Instrument</w:t>
      </w:r>
      <w:r>
        <w:rPr>
          <w:rFonts w:ascii="Times New Roman" w:hAnsi="Times New Roman"/>
          <w:caps w:val="false"/>
          <w:smallCaps w:val="false"/>
          <w:sz w:val="20"/>
        </w:rPr>
        <w:t>”), except for such Defaults as would not be reasonably expected, individually or in the aggregate, to result in a Material Adverse Change. The Company’s execution, delivery and performance of this Agreement, the Common Warrants and the Pre-Funded Warrants, consummation of the transactions contemplated 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have been duly authorized by all necessary corporate action and will not result in any violation of the provisions of the charter or by</w:t>
        <w:noBreakHyphen/>
        <w:t>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conflicts, breaches or violations specified in subsection (ii) and (iii) above that would not reasonably be expected to result in a Material Adverse Change. No consent, approval, authorization or other order of, or registration or filing with, any court or other governmental or regulatory authority or agency, is required for the Company’s execution, delivery and performance of this Agreement, the Pre-Funded Warrants, the Common Warrants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hAnsi="Times New Roman"/>
          <w:b/>
          <w:caps w:val="false"/>
          <w:smallCaps w:val="false"/>
          <w:sz w:val="20"/>
        </w:rPr>
        <w:t>FINRA</w:t>
      </w:r>
      <w:r>
        <w:rPr>
          <w:rFonts w:ascii="Times New Roman" w:hAnsi="Times New Roman"/>
          <w:caps w:val="false"/>
          <w:smallCaps w:val="false"/>
          <w:sz w:val="20"/>
        </w:rPr>
        <w:t>”). As used herein, a “</w:t>
      </w:r>
      <w:r>
        <w:rPr>
          <w:rFonts w:ascii="Times New Roman" w:hAnsi="Times New Roman"/>
          <w:b/>
          <w:caps w:val="false"/>
          <w:smallCaps w:val="false"/>
          <w:sz w:val="20"/>
        </w:rPr>
        <w:t>Debt Repayment Triggering Event</w:t>
      </w:r>
      <w:r>
        <w:rPr>
          <w:rFonts w:ascii="Times New Roman" w:hAnsi="Times New Roman"/>
          <w:caps w:val="false"/>
          <w:smallCaps w:val="false"/>
          <w:sz w:val="20"/>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(t)</w:t>
      </w:r>
      <w:r>
        <w:rPr>
          <w:rFonts w:ascii="Times New Roman" w:hAnsi="Times New Roman"/>
          <w:caps w:val="false"/>
          <w:smallCaps w:val="false"/>
          <w:sz w:val="20"/>
        </w:rPr>
        <w:t xml:space="preserve">          </w:t>
      </w:r>
      <w:r>
        <w:rPr>
          <w:rFonts w:ascii="Times New Roman" w:hAnsi="Times New Roman"/>
          <w:b/>
          <w:i/>
          <w:caps w:val="false"/>
          <w:smallCaps w:val="false"/>
          <w:sz w:val="20"/>
        </w:rPr>
        <w:t>Compliance with Laws.</w:t>
      </w:r>
      <w:r>
        <w:rPr>
          <w:rFonts w:ascii="Times New Roman" w:hAnsi="Times New Roman"/>
          <w:caps w:val="false"/>
          <w:smallCaps w:val="false"/>
          <w:sz w:val="20"/>
        </w:rPr>
        <w:t xml:space="preserve"> The Company and its subsidiaries have been, during the past three (3) years, and are in compliance with all applicable laws, rules and regulations, except where failure to be so in compliance would not reasonably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(u)</w:t>
      </w:r>
      <w:r>
        <w:rPr>
          <w:rFonts w:ascii="Times New Roman" w:hAnsi="Times New Roman"/>
          <w:caps w:val="false"/>
          <w:smallCaps w:val="false"/>
          <w:sz w:val="20"/>
        </w:rPr>
        <w:t xml:space="preserve">          </w:t>
      </w:r>
      <w:r>
        <w:rPr>
          <w:rFonts w:ascii="Times New Roman" w:hAnsi="Times New Roman"/>
          <w:b/>
          <w:i/>
          <w:caps w:val="false"/>
          <w:smallCaps w:val="false"/>
          <w:sz w:val="20"/>
        </w:rPr>
        <w:t>No Material Actions or Proceedings</w:t>
      </w:r>
      <w:r>
        <w:rPr>
          <w:rFonts w:ascii="Times New Roman" w:hAnsi="Times New Roman"/>
          <w:b/>
          <w:caps w:val="false"/>
          <w:smallCaps w:val="false"/>
          <w:sz w:val="20"/>
        </w:rPr>
        <w:t>.</w:t>
      </w:r>
      <w:r>
        <w:rPr>
          <w:rFonts w:ascii="Times New Roman" w:hAnsi="Times New Roman"/>
          <w:caps w:val="false"/>
          <w:smallCaps w:val="false"/>
          <w:sz w:val="20"/>
        </w:rPr>
        <w:t xml:space="preserve"> There is no action, suit, proceeding, inquiry or investigation brought by or before any legal or governmental entity now pending or, to the knowledge of the Company, threatened, against or affecting the Company or any of its subsidiaries, that would reasonably be expected, individually or in the aggregate, to result in a Material Adverse Change. No labor dispute with the employees of the Company or any of its subsidiaries, or with the employees of any principal supplier, manufacturer, customer or contractor of the Company, exists or, to the knowledge of the Company, is threatened or imminent, except as would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xml:space="preserve">          </w:t>
      </w:r>
      <w:r>
        <w:rPr>
          <w:rFonts w:ascii="Times New Roman" w:hAnsi="Times New Roman"/>
          <w:b/>
          <w:i/>
          <w:caps w:val="false"/>
          <w:smallCaps w:val="false"/>
          <w:sz w:val="20"/>
        </w:rPr>
        <w:t>Intellectual Property Rights</w:t>
      </w:r>
      <w:r>
        <w:rPr>
          <w:rFonts w:ascii="Times New Roman" w:hAnsi="Times New Roman"/>
          <w:b/>
          <w:caps w:val="false"/>
          <w:smallCaps w:val="false"/>
          <w:sz w:val="20"/>
        </w:rPr>
        <w:t>.</w:t>
      </w:r>
      <w:r>
        <w:rPr>
          <w:rFonts w:ascii="Times New Roman" w:hAnsi="Times New Roman"/>
          <w:caps w:val="false"/>
          <w:smallCaps w:val="false"/>
          <w:sz w:val="20"/>
        </w:rPr>
        <w:t xml:space="preserve"> The Company and its subsidiaries own, or have obtained valid and enforceable licenses for, the inventions, patent applications, patents, trademarks, trade names, service names, copyrights, trade secrets and other intellectual property described in the Registration Statement, the Time of Sale Prospectus and the Prospectus as being owned or licensed by them or used in the conduct of their respective businesses as currently conducted or as currently proposed to be conducted (collectively, “</w:t>
      </w:r>
      <w:r>
        <w:rPr>
          <w:rFonts w:ascii="Times New Roman" w:hAnsi="Times New Roman"/>
          <w:caps w:val="false"/>
          <w:smallCaps w:val="false"/>
          <w:sz w:val="20"/>
          <w:u w:val="single"/>
        </w:rPr>
        <w:t>Intellectual Property</w:t>
      </w:r>
      <w:r>
        <w:rPr>
          <w:rFonts w:ascii="Times New Roman" w:hAnsi="Times New Roman"/>
          <w:caps w:val="false"/>
          <w:smallCaps w:val="false"/>
          <w:sz w:val="20"/>
        </w:rPr>
        <w:t>”). To the Company’s knowledge, the conduct of their respective businesses does not and will not infringe, misappropriate or otherwise conflict in any material respect with any intellectual property rights of others, except as would not be reasonably be expected, individually or in the aggregate, to result in a Material Adverse Change. The Intellectual Property of the Company has not been adjudged by a court of competent jurisdiction to be invalid or unenforceable, in whole or in part, and the Company is unaware of any facts which, in the Company’s opinion, would form a reasonable basis for any such adjudication. To the Company's knowledge, except as otherwise described in the Registration Statement, the Time of Sale Prospectus and the Prospectus: (i) 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Intellectual Property, except, for each of (i) and (ii), as would not be reasonably be expected, individually or in the aggregate, to result in a Material Adverse Change. There is no pending or, to the Company’s knowledge, threatened action, suit, proceeding or claim by third parties: (A) challenging the Company’s and its subsidiaries’ rights in or to any Intellectual Property, and the Company is unaware of any facts which, in the Company’s opinion, would form a reasonable basis for any such action, suit, proceeding or claim; (B) challenging the validity, enforceability or scope of any Intellectual Property, and the Company is unaware of any facts which, in the Company’s opinion,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third parties, and the Company is unaware of any facts which, in the Company’s opinion, would form a reasonable basis for any such action, suit, proceeding or claim; in each case of (A), (B) and (C), except as would not reasonably be expected to result in a Material Adverse Change. The Company and its subsidiaries have complied with the terms of each agreement pursuant to which Intellectual Property has been licensed to the Company or any subsidiary, and all such agreements are in full force and effect, except when the failure to be in compliance would not reasonably be expected to result in a Material Adverse Change. To the Company’s knowledge, there are no defects in any of the patents or patent applications included in the Intellectual Property, except as would not reasonably be expected to result in a Material Adverse Change. To the Company’s knowledge, the Company and its subsidiaries have taken all reasonable steps to protect, maintain and safeguard their Intellectual Property, including the execution of appropriate nondisclosure or confidentiality agreements and invention assignment agreements with their employees, and to the Company’s knowledge, no current employee of the Company involved in the development of Intellectual Property is in or has been in violation of any material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in each case except when the failure to be in compliance would not reasonably be expected to result in a Material Adverse Change. To the Company’s knowledge, the duty of candor and good faith as required by the United States Patent and Trademark Office during the prosecution of the United States patents and patent applications included in the Intellectual Property has been complied with in all material respects; and in all foreign offices having similar requirements, all such requirements have been complied with in all material respects, in each case except when the failure to be in compliance would not reasonably be expected to result in a Material Adverse Change. To the knowledge of the Company, none of the Company owned Intellectual Property or technology (including information technology and outsourced arrangements) employed by the Company or its subsidiaries in the conduct of their respective businesses has been obtained or is being used by the Company or its subsidiaries in violation of any contractual obligation binding on the Company or its subsidiaries or any of their respective officers, directors or employees or otherwise in violation of the rights of any persons. The product candidates, other than PH284, described in the Registration Statement, the Time of Sale Prospectus and the Prospectus as under development by the Company or any subsidiary fall within the scope of the claims of one or more patents and/or pending patent applications owned by, or exclusively licensed to,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w:t>
      </w:r>
      <w:r>
        <w:rPr>
          <w:rFonts w:ascii="Times New Roman" w:hAnsi="Times New Roman"/>
          <w:caps w:val="false"/>
          <w:smallCaps w:val="false"/>
          <w:sz w:val="20"/>
        </w:rPr>
        <w:t>         </w:t>
      </w:r>
      <w:r>
        <w:rPr>
          <w:rFonts w:ascii="Times New Roman" w:hAnsi="Times New Roman"/>
          <w:b/>
          <w:i/>
          <w:caps w:val="false"/>
          <w:smallCaps w:val="false"/>
          <w:sz w:val="20"/>
        </w:rPr>
        <w:t>All Necessary Permits, etc</w:t>
      </w:r>
      <w:r>
        <w:rPr>
          <w:rFonts w:ascii="Times New Roman" w:hAnsi="Times New Roman"/>
          <w:b/>
          <w:caps w:val="false"/>
          <w:smallCaps w:val="false"/>
          <w:sz w:val="20"/>
        </w:rPr>
        <w:t>.</w:t>
      </w:r>
      <w:r>
        <w:rPr>
          <w:rFonts w:ascii="Times New Roman" w:hAnsi="Times New Roman"/>
          <w:caps w:val="false"/>
          <w:smallCaps w:val="false"/>
          <w:sz w:val="20"/>
        </w:rPr>
        <w:t xml:space="preserve"> The Company and its subsidiaries possess such valid and current certificates, authorizations or permits required by state, federal or foreign regulatory agencies or bodies to conduct their respective businesses as currently conducted and as described in the Registration Statement, the Time of Sale Prospectus or the Prospectus (“</w:t>
      </w:r>
      <w:r>
        <w:rPr>
          <w:rFonts w:ascii="Times New Roman" w:hAnsi="Times New Roman"/>
          <w:b/>
          <w:caps w:val="false"/>
          <w:smallCaps w:val="false"/>
          <w:sz w:val="20"/>
        </w:rPr>
        <w:t>Permits</w:t>
      </w:r>
      <w:r>
        <w:rPr>
          <w:rFonts w:ascii="Times New Roman" w:hAnsi="Times New Roman"/>
          <w:caps w:val="false"/>
          <w:smallCaps w:val="false"/>
          <w:sz w:val="20"/>
        </w:rPr>
        <w:t>”), except where the failure to so possess would not reasonably be expected to result in a Material Adverse Change. Neither the Company nor any of its subsidiaries is in violation of, or in default under, any of the Permits or has received any notice of proceedings relating to the revocation or modification of, or non</w:t>
        <w:noBreakHyphen/>
        <w:t>compliance with, any such certificate, authorization or permit, that, individually or in the aggregate, if the subject of an unfavorable decision, ruling or finding, would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(x)</w:t>
      </w:r>
      <w:r>
        <w:rPr>
          <w:rFonts w:ascii="Times New Roman" w:hAnsi="Times New Roman"/>
          <w:caps w:val="false"/>
          <w:smallCaps w:val="false"/>
          <w:sz w:val="20"/>
        </w:rPr>
        <w:t xml:space="preserve">          </w:t>
      </w:r>
      <w:r>
        <w:rPr>
          <w:rFonts w:ascii="Times New Roman" w:hAnsi="Times New Roman"/>
          <w:b/>
          <w:i/>
          <w:caps w:val="false"/>
          <w:smallCaps w:val="false"/>
          <w:sz w:val="20"/>
        </w:rPr>
        <w:t>Title to Properties</w:t>
      </w:r>
      <w:r>
        <w:rPr>
          <w:rFonts w:ascii="Times New Roman" w:hAnsi="Times New Roman"/>
          <w:b/>
          <w:caps w:val="false"/>
          <w:smallCaps w:val="false"/>
          <w:sz w:val="20"/>
        </w:rPr>
        <w:t>.</w:t>
      </w:r>
      <w:r>
        <w:rPr>
          <w:rFonts w:ascii="Times New Roman" w:hAnsi="Times New Roman"/>
          <w:caps w:val="false"/>
          <w:smallCaps w:val="false"/>
          <w:sz w:val="20"/>
        </w:rPr>
        <w:t xml:space="preserve"> The Company and its subsidiaries have good and marketable title to all of the real and personal property and other assets reflected as owned in the financial statements referred to in Section 1(l) above (or elsewhere in the Registration Statement, the Time of Sale Prospectus or the Prospectus), in each case free and clear of any security interests, mortgages, liens, encumbrances, equities, adverse claims and other defects that would reasonably be expected to result in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(y)</w:t>
      </w:r>
      <w:r>
        <w:rPr>
          <w:rFonts w:ascii="Times New Roman" w:hAnsi="Times New Roman"/>
          <w:caps w:val="false"/>
          <w:smallCaps w:val="false"/>
          <w:sz w:val="20"/>
        </w:rPr>
        <w:t xml:space="preserve">          </w:t>
      </w:r>
      <w:r>
        <w:rPr>
          <w:rFonts w:ascii="Times New Roman" w:hAnsi="Times New Roman"/>
          <w:b/>
          <w:i/>
          <w:caps w:val="false"/>
          <w:smallCaps w:val="false"/>
          <w:sz w:val="20"/>
        </w:rPr>
        <w:t>Tax Law Compliance</w:t>
      </w:r>
      <w:r>
        <w:rPr>
          <w:rFonts w:ascii="Times New Roman" w:hAnsi="Times New Roman"/>
          <w:b/>
          <w:caps w:val="false"/>
          <w:smallCaps w:val="false"/>
          <w:sz w:val="20"/>
        </w:rPr>
        <w:t>.</w:t>
      </w:r>
      <w:r>
        <w:rPr>
          <w:rFonts w:ascii="Times New Roman" w:hAnsi="Times New Roman"/>
          <w:caps w:val="false"/>
          <w:smallCaps w:val="false"/>
          <w:sz w:val="20"/>
        </w:rPr>
        <w:t xml:space="preserve"> Except as would not reasonably be expected to result in a Material Adverse Change,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1(l) above in respect of all material federal, state and foreign income and franchise taxes applicable to the Company for all periods as to which the tax liability of the Company or any of its subsidiaries has not been finally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(z)</w:t>
      </w:r>
      <w:r>
        <w:rPr>
          <w:rFonts w:ascii="Times New Roman" w:hAnsi="Times New Roman"/>
          <w:caps w:val="false"/>
          <w:smallCaps w:val="false"/>
          <w:sz w:val="20"/>
        </w:rPr>
        <w:t xml:space="preserve">          </w:t>
      </w:r>
      <w:r>
        <w:rPr>
          <w:rFonts w:ascii="Times New Roman" w:hAnsi="Times New Roman"/>
          <w:b/>
          <w:i/>
          <w:caps w:val="false"/>
          <w:smallCaps w:val="false"/>
          <w:sz w:val="20"/>
        </w:rPr>
        <w:t>Insurance</w:t>
      </w:r>
      <w:r>
        <w:rPr>
          <w:rFonts w:ascii="Times New Roman" w:hAnsi="Times New Roman"/>
          <w:b/>
          <w:caps w:val="false"/>
          <w:smallCaps w:val="false"/>
          <w:sz w:val="20"/>
        </w:rPr>
        <w:t>.</w:t>
      </w:r>
      <w:r>
        <w:rPr>
          <w:rFonts w:ascii="Times New Roman" w:hAnsi="Times New Roman"/>
          <w:caps w:val="false"/>
          <w:smallCaps w:val="false"/>
          <w:sz w:val="20"/>
        </w:rPr>
        <w:t xml:space="preserve">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(aa)</w:t>
      </w:r>
      <w:r>
        <w:rPr>
          <w:rFonts w:ascii="Times New Roman" w:hAnsi="Times New Roman"/>
          <w:caps w:val="false"/>
          <w:smallCaps w:val="false"/>
          <w:sz w:val="20"/>
        </w:rPr>
        <w:t xml:space="preserve">        </w:t>
      </w:r>
      <w:r>
        <w:rPr>
          <w:rFonts w:ascii="Times New Roman" w:hAnsi="Times New Roman"/>
          <w:b/>
          <w:i/>
          <w:caps w:val="false"/>
          <w:smallCaps w:val="false"/>
          <w:sz w:val="20"/>
        </w:rPr>
        <w:t>Compliance with Environmental Laws</w:t>
      </w:r>
      <w:r>
        <w:rPr>
          <w:rFonts w:ascii="Times New Roman" w:hAnsi="Times New Roman"/>
          <w:b/>
          <w:caps w:val="false"/>
          <w:smallCaps w:val="false"/>
          <w:sz w:val="20"/>
        </w:rPr>
        <w:t>.</w:t>
      </w:r>
      <w:r>
        <w:rPr>
          <w:rFonts w:ascii="Times New Roman" w:hAnsi="Times New Roman"/>
          <w:caps w:val="false"/>
          <w:smallCaps w:val="false"/>
          <w:sz w:val="20"/>
        </w:rPr>
        <w:t xml:space="preserve">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b/>
          <w:caps w:val="false"/>
          <w:smallCaps w:val="false"/>
          <w:sz w:val="20"/>
        </w:rPr>
        <w:t>Hazardous Materials</w:t>
      </w:r>
      <w:r>
        <w:rPr>
          <w:rFonts w:ascii="Times New Roman" w:hAnsi="Times New Roman"/>
          <w:caps w:val="false"/>
          <w:smallCaps w:val="false"/>
          <w:sz w:val="20"/>
        </w:rPr>
        <w:t>”) or to the manufacture, processing, distribution, use, treatment, storage, disposal, transport or handling of Hazardous Materials (collectively, “</w:t>
      </w:r>
      <w:r>
        <w:rPr>
          <w:rFonts w:ascii="Times New Roman" w:hAnsi="Times New Roman"/>
          <w:b/>
          <w:caps w:val="false"/>
          <w:smallCaps w:val="false"/>
          <w:sz w:val="20"/>
        </w:rPr>
        <w:t>Environmental Laws</w:t>
      </w:r>
      <w:r>
        <w:rPr>
          <w:rFonts w:ascii="Times New Roman" w:hAnsi="Times New Roman"/>
          <w:caps w:val="false"/>
          <w:smallCaps w:val="false"/>
          <w:sz w:val="20"/>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knowledge of the Company,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(bb)</w:t>
      </w:r>
      <w:r>
        <w:rPr>
          <w:rFonts w:ascii="Times New Roman" w:hAnsi="Times New Roman"/>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(cc)</w:t>
      </w:r>
      <w:r>
        <w:rPr>
          <w:rFonts w:ascii="Times New Roman" w:hAnsi="Times New Roman"/>
          <w:caps w:val="false"/>
          <w:smallCaps w:val="false"/>
          <w:sz w:val="20"/>
        </w:rPr>
        <w:t>         </w:t>
      </w:r>
      <w:r>
        <w:rPr>
          <w:rFonts w:ascii="Times New Roman" w:hAnsi="Times New Roman"/>
          <w:b/>
          <w:i/>
          <w:caps w:val="false"/>
          <w:smallCaps w:val="false"/>
          <w:sz w:val="20"/>
        </w:rPr>
        <w:t>ERISA Compliance</w:t>
      </w:r>
      <w:r>
        <w:rPr>
          <w:rFonts w:ascii="Times New Roman" w:hAnsi="Times New Roman"/>
          <w:b/>
          <w:caps w:val="false"/>
          <w:smallCaps w:val="false"/>
          <w:sz w:val="20"/>
        </w:rPr>
        <w:t>.</w:t>
      </w:r>
      <w:r>
        <w:rPr>
          <w:rFonts w:ascii="Times New Roman" w:hAnsi="Times New Roman"/>
          <w:caps w:val="false"/>
          <w:smallCaps w:val="false"/>
          <w:sz w:val="20"/>
        </w:rPr>
        <w:t xml:space="preserve"> 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b/>
          <w:caps w:val="false"/>
          <w:smallCaps w:val="false"/>
          <w:sz w:val="20"/>
        </w:rPr>
        <w:t>ERISA</w:t>
      </w:r>
      <w:r>
        <w:rPr>
          <w:rFonts w:ascii="Times New Roman" w:hAnsi="Times New Roman"/>
          <w:caps w:val="false"/>
          <w:smallCaps w:val="false"/>
          <w:sz w:val="20"/>
        </w:rPr>
        <w:t>”)) established or maintained by the Company, its subsidiaries or their “ERISA Affiliates” (as defined below) are in compliance in all material respects with ERISA. “</w:t>
      </w:r>
      <w:r>
        <w:rPr>
          <w:rFonts w:ascii="Times New Roman" w:hAnsi="Times New Roman"/>
          <w:b/>
          <w:caps w:val="false"/>
          <w:smallCaps w:val="false"/>
          <w:sz w:val="20"/>
        </w:rPr>
        <w:t>ERISA Affiliate</w:t>
      </w:r>
      <w:r>
        <w:rPr>
          <w:rFonts w:ascii="Times New Roman" w:hAnsi="Times New Roman"/>
          <w:caps w:val="false"/>
          <w:smallCaps w:val="false"/>
          <w:sz w:val="20"/>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b/>
          <w:caps w:val="false"/>
          <w:smallCaps w:val="false"/>
          <w:sz w:val="20"/>
        </w:rPr>
        <w:t>Code</w:t>
      </w:r>
      <w:r>
        <w:rPr>
          <w:rFonts w:ascii="Times New Roman" w:hAnsi="Times New Roman"/>
          <w:caps w:val="false"/>
          <w:smallCaps w:val="false"/>
          <w:sz w:val="20"/>
        </w:rPr>
        <w:t>”) of which the Company or such subsidiary is a member. Except as would not, individually or in the aggregate, reasonably be expected to result in a Material Adverse Change: (i) no “reportable event” (as defined under ERISA) has occurred or is reasonably expected to occur with respect to any “employee benefit plan” established or maintained by the Company, its subsidiaries or any of their ERISA Affiliates; (ii) no “employee benefit plan” established or maintained by the Company, its subsidiaries or any of their ERISA Affiliates, if such “employee benefit plan” were terminated, would have any “amount of unfunded benefit liabilities” (as defined under ERISA); (iii) neither the Company, its subsidiaries nor any of their ERISA Affiliates has incurred or reasonably expects to incur (a) any liability under Title IV of ERISA with respect to termination of, or withdrawal from, any “employee benefit plan” or (b) any material liability under Sections 412, 4971, 4975 or 4980B of the Code; and (iv)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cause the loss of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(dd)</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Company Not an </w:t>
      </w:r>
      <w:r>
        <w:rPr>
          <w:rFonts w:ascii="Times New Roman" w:hAnsi="Times New Roman"/>
          <w:caps w:val="false"/>
          <w:smallCaps w:val="false"/>
          <w:sz w:val="20"/>
        </w:rPr>
        <w:t>“</w:t>
      </w:r>
      <w:r>
        <w:rPr>
          <w:rFonts w:ascii="Times New Roman" w:hAnsi="Times New Roman"/>
          <w:b/>
          <w:i/>
          <w:caps w:val="false"/>
          <w:smallCaps w:val="false"/>
          <w:sz w:val="20"/>
        </w:rPr>
        <w:t>Investment Company.</w:t>
      </w:r>
      <w:r>
        <w:rPr>
          <w:rFonts w:ascii="Times New Roman" w:hAnsi="Times New Roman"/>
          <w:caps w:val="false"/>
          <w:smallCaps w:val="false"/>
          <w:sz w:val="20"/>
        </w:rPr>
        <w:t>” The Company is not, and will not be, either after receipt of payment for the Offered Securities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hAnsi="Times New Roman"/>
          <w:b/>
          <w:caps w:val="false"/>
          <w:smallCaps w:val="false"/>
          <w:sz w:val="20"/>
        </w:rPr>
        <w:t>Investment Company Act</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(ee)</w:t>
      </w:r>
      <w:r>
        <w:rPr>
          <w:rFonts w:ascii="Times New Roman" w:hAnsi="Times New Roman"/>
          <w:caps w:val="false"/>
          <w:smallCaps w:val="false"/>
          <w:sz w:val="20"/>
        </w:rPr>
        <w:t>         </w:t>
      </w:r>
      <w:r>
        <w:rPr>
          <w:rFonts w:ascii="Times New Roman" w:hAnsi="Times New Roman"/>
          <w:b/>
          <w:i/>
          <w:caps w:val="false"/>
          <w:smallCaps w:val="false"/>
          <w:sz w:val="20"/>
        </w:rPr>
        <w:t>No Price Stabilization or Manipulation; Compliance with Regulation M</w:t>
      </w:r>
      <w:r>
        <w:rPr>
          <w:rFonts w:ascii="Times New Roman" w:hAnsi="Times New Roman"/>
          <w:b/>
          <w:caps w:val="false"/>
          <w:smallCaps w:val="false"/>
          <w:sz w:val="20"/>
        </w:rPr>
        <w:t>.</w:t>
      </w:r>
      <w:r>
        <w:rPr>
          <w:rFonts w:ascii="Times New Roman" w:hAnsi="Times New Roman"/>
          <w:caps w:val="false"/>
          <w:smallCaps w:val="false"/>
          <w:sz w:val="20"/>
        </w:rPr>
        <w:t xml:space="preserve"> Neither the Company nor any of its subsidiaries has taken, directly or indirectly, any action designed to or that might cause or result in stabilization or manipulation of the price of the shares of Common Stock or of any “reference security” (as defined in Rule 100 of Regulation M under the Exchange Act (“</w:t>
      </w:r>
      <w:r>
        <w:rPr>
          <w:rFonts w:ascii="Times New Roman" w:hAnsi="Times New Roman"/>
          <w:b/>
          <w:caps w:val="false"/>
          <w:smallCaps w:val="false"/>
          <w:sz w:val="20"/>
        </w:rPr>
        <w:t>Regulation M</w:t>
      </w:r>
      <w:r>
        <w:rPr>
          <w:rFonts w:ascii="Times New Roman" w:hAnsi="Times New Roman"/>
          <w:caps w:val="false"/>
          <w:smallCaps w:val="false"/>
          <w:sz w:val="20"/>
        </w:rPr>
        <w:t>”)) with respect to the shares of Common Stock, whether to facilitate the sale or resale of the Offered Securities or otherwise, and has taken no action which would directly or indirectly violate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(ff)</w:t>
      </w:r>
      <w:r>
        <w:rPr>
          <w:rFonts w:ascii="Times New Roman" w:hAnsi="Times New Roman"/>
          <w:caps w:val="false"/>
          <w:smallCaps w:val="false"/>
          <w:sz w:val="20"/>
        </w:rPr>
        <w:t xml:space="preserve">          </w:t>
      </w:r>
      <w:r>
        <w:rPr>
          <w:rFonts w:ascii="Times New Roman" w:hAnsi="Times New Roman"/>
          <w:b/>
          <w:i/>
          <w:caps w:val="false"/>
          <w:smallCaps w:val="false"/>
          <w:sz w:val="20"/>
        </w:rPr>
        <w:t>Related-Party Transactions</w:t>
      </w:r>
      <w:r>
        <w:rPr>
          <w:rFonts w:ascii="Times New Roman" w:hAnsi="Times New Roman"/>
          <w:b/>
          <w:caps w:val="false"/>
          <w:smallCaps w:val="false"/>
          <w:sz w:val="20"/>
        </w:rPr>
        <w:t>.</w:t>
      </w:r>
      <w:r>
        <w:rPr>
          <w:rFonts w:ascii="Times New Roman" w:hAnsi="Times New Roman"/>
          <w:caps w:val="false"/>
          <w:smallCaps w:val="false"/>
          <w:sz w:val="20"/>
        </w:rPr>
        <w:t xml:space="preserve"> There are no business relationships or related-party transactions involving the Company or any of its subsidiaries or any other person required to be described in the Registration Statement, the Time of Sale Prospectus or the Prospectus that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(gg)</w:t>
      </w:r>
      <w:r>
        <w:rPr>
          <w:rFonts w:ascii="Times New Roman" w:hAnsi="Times New Roman"/>
          <w:caps w:val="false"/>
          <w:smallCaps w:val="false"/>
          <w:sz w:val="20"/>
        </w:rPr>
        <w:t xml:space="preserve">        </w:t>
      </w:r>
      <w:r>
        <w:rPr>
          <w:rFonts w:ascii="Times New Roman" w:hAnsi="Times New Roman"/>
          <w:b/>
          <w:i/>
          <w:caps w:val="false"/>
          <w:smallCaps w:val="false"/>
          <w:sz w:val="20"/>
        </w:rPr>
        <w:t>FINRA Matters</w:t>
      </w:r>
      <w:r>
        <w:rPr>
          <w:rFonts w:ascii="Times New Roman" w:hAnsi="Times New Roman"/>
          <w:b/>
          <w:caps w:val="false"/>
          <w:smallCaps w:val="false"/>
          <w:sz w:val="20"/>
        </w:rPr>
        <w:t>.</w:t>
      </w:r>
      <w:r>
        <w:rPr>
          <w:rFonts w:ascii="Times New Roman" w:hAnsi="Times New Roman"/>
          <w:caps w:val="false"/>
          <w:smallCaps w:val="false"/>
          <w:sz w:val="20"/>
        </w:rPr>
        <w:t xml:space="preserve">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Offered Securities is true, complete, correct and compliant with FINRA’s rules, in all material respects, and any letters, filings or other supplemental information provided to FINRA pursuant to FINRA Rules or NASD Conduct Rules is true, complete and correct,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(hh)</w:t>
      </w:r>
      <w:r>
        <w:rPr>
          <w:rFonts w:ascii="Times New Roman" w:hAnsi="Times New Roman"/>
          <w:caps w:val="false"/>
          <w:smallCaps w:val="false"/>
          <w:sz w:val="20"/>
        </w:rPr>
        <w:t>        </w:t>
      </w:r>
      <w:r>
        <w:rPr>
          <w:rFonts w:ascii="Times New Roman" w:hAnsi="Times New Roman"/>
          <w:b/>
          <w:i/>
          <w:caps w:val="false"/>
          <w:smallCaps w:val="false"/>
          <w:sz w:val="20"/>
        </w:rPr>
        <w:t>Parties to Lock-Up Agreements</w:t>
      </w:r>
      <w:r>
        <w:rPr>
          <w:rFonts w:ascii="Times New Roman" w:hAnsi="Times New Roman"/>
          <w:b/>
          <w:caps w:val="false"/>
          <w:smallCaps w:val="false"/>
          <w:sz w:val="20"/>
        </w:rPr>
        <w:t>.</w:t>
      </w:r>
      <w:r>
        <w:rPr>
          <w:rFonts w:ascii="Times New Roman" w:hAnsi="Times New Roman"/>
          <w:caps w:val="false"/>
          <w:smallCaps w:val="false"/>
          <w:sz w:val="20"/>
        </w:rPr>
        <w:t xml:space="preserve"> The Company has furnished to the Underwriters a letter agreement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(the “</w:t>
      </w:r>
      <w:r>
        <w:rPr>
          <w:rFonts w:ascii="Times New Roman" w:hAnsi="Times New Roman"/>
          <w:b/>
          <w:caps w:val="false"/>
          <w:smallCaps w:val="false"/>
          <w:sz w:val="20"/>
        </w:rPr>
        <w:t>Lock-up Agreement</w:t>
      </w:r>
      <w:r>
        <w:rPr>
          <w:rFonts w:ascii="Times New Roman" w:hAnsi="Times New Roman"/>
          <w:caps w:val="false"/>
          <w:smallCaps w:val="false"/>
          <w:sz w:val="20"/>
        </w:rPr>
        <w:t xml:space="preserve">”) from each of the persons listed on </w:t>
      </w:r>
      <w:r>
        <w:rPr>
          <w:rFonts w:ascii="Times New Roman" w:hAnsi="Times New Roman"/>
          <w:caps w:val="false"/>
          <w:smallCaps w:val="false"/>
          <w:sz w:val="20"/>
          <w:u w:val="single"/>
        </w:rPr>
        <w:t>Exhibit B</w:t>
      </w:r>
      <w:r>
        <w:rPr>
          <w:rFonts w:ascii="Times New Roman" w:hAnsi="Times New Roman"/>
          <w:caps w:val="false"/>
          <w:smallCaps w:val="false"/>
          <w:sz w:val="20"/>
        </w:rPr>
        <w:t>.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Jefferies a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xml:space="preserve">          </w:t>
      </w:r>
      <w:r>
        <w:rPr>
          <w:rFonts w:ascii="Times New Roman" w:hAnsi="Times New Roman"/>
          <w:b/>
          <w:i/>
          <w:caps w:val="false"/>
          <w:smallCaps w:val="false"/>
          <w:sz w:val="20"/>
        </w:rPr>
        <w:t>Statistical and Market-Related Data</w:t>
      </w:r>
      <w:r>
        <w:rPr>
          <w:rFonts w:ascii="Times New Roman" w:hAnsi="Times New Roman"/>
          <w:b/>
          <w:caps w:val="false"/>
          <w:smallCaps w:val="false"/>
          <w:sz w:val="20"/>
        </w:rPr>
        <w:t>.</w:t>
      </w:r>
      <w:r>
        <w:rPr>
          <w:rFonts w:ascii="Times New Roman" w:hAnsi="Times New Roman"/>
          <w:caps w:val="false"/>
          <w:smallCaps w:val="false"/>
          <w:sz w:val="20"/>
        </w:rPr>
        <w:t xml:space="preserve"> All statistical, demographic and market</w:t>
        <w:noBreakHyphen/>
        <w:t>related data included in the Registration Statement, the Time of Sale Prospectus or the Prospectus are based on or derived from sources that the Company believes, after reasonable inquiry, to be reliable and accurate or represent the Company’s good faith estimates that are made on the basis of data derived from such sources. To the extent required, the Company has obtained the written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(jj)</w:t>
      </w:r>
      <w:r>
        <w:rPr>
          <w:rFonts w:ascii="Times New Roman" w:hAnsi="Times New Roman"/>
          <w:caps w:val="false"/>
          <w:smallCaps w:val="false"/>
          <w:sz w:val="20"/>
        </w:rPr>
        <w:t xml:space="preserve">          </w:t>
      </w:r>
      <w:r>
        <w:rPr>
          <w:rFonts w:ascii="Times New Roman" w:hAnsi="Times New Roman"/>
          <w:b/>
          <w:i/>
          <w:caps w:val="false"/>
          <w:smallCaps w:val="false"/>
          <w:sz w:val="20"/>
        </w:rPr>
        <w:t>Sarbanes-Oxley Act.</w:t>
      </w:r>
      <w:r>
        <w:rPr>
          <w:rFonts w:ascii="Times New Roman" w:hAnsi="Times New Roman"/>
          <w:caps w:val="false"/>
          <w:smallCaps w:val="false"/>
          <w:sz w:val="20"/>
        </w:rPr>
        <w:t xml:space="preserve"> There is, and has been, no failure on the part of the Company or, to the Company’s knowledge, any of the Company’s directors or officers, in their capacities as such, to comply in all material respects with any applicable provision of the Sarbanes-Oxley Act of 2002, as amended and the rules and regulations promulgated in connection therewith,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(kk)</w:t>
      </w:r>
      <w:r>
        <w:rPr>
          <w:rFonts w:ascii="Times New Roman" w:hAnsi="Times New Roman"/>
          <w:caps w:val="false"/>
          <w:smallCaps w:val="false"/>
          <w:sz w:val="20"/>
        </w:rPr>
        <w:t>    </w:t>
      </w:r>
      <w:r>
        <w:rPr>
          <w:rFonts w:ascii="Times New Roman" w:hAnsi="Times New Roman"/>
          <w:b/>
          <w:i/>
          <w:caps w:val="false"/>
          <w:smallCaps w:val="false"/>
          <w:sz w:val="20"/>
        </w:rPr>
        <w:t>No Unlawful Contributions or Other Payments</w:t>
      </w:r>
      <w:r>
        <w:rPr>
          <w:rFonts w:ascii="Times New Roman" w:hAnsi="Times New Roman"/>
          <w:b/>
          <w:caps w:val="false"/>
          <w:smallCaps w:val="false"/>
          <w:sz w:val="20"/>
        </w:rPr>
        <w:t>.</w:t>
      </w:r>
      <w:r>
        <w:rPr>
          <w:rFonts w:ascii="Times New Roman" w:hAnsi="Times New Roman"/>
          <w:caps w:val="false"/>
          <w:smallCaps w:val="false"/>
          <w:sz w:val="20"/>
        </w:rPr>
        <w:t xml:space="preserve">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(ll)</w:t>
      </w:r>
      <w:r>
        <w:rPr>
          <w:rFonts w:ascii="Times New Roman" w:hAnsi="Times New Roman"/>
          <w:caps w:val="false"/>
          <w:smallCaps w:val="false"/>
          <w:sz w:val="20"/>
        </w:rPr>
        <w:t xml:space="preserve">          </w:t>
      </w:r>
      <w:r>
        <w:rPr>
          <w:rFonts w:ascii="Times New Roman" w:hAnsi="Times New Roman"/>
          <w:b/>
          <w:i/>
          <w:caps w:val="false"/>
          <w:smallCaps w:val="false"/>
          <w:sz w:val="20"/>
        </w:rPr>
        <w:t>Anti-Corruption and Anti-Bribery Laws</w:t>
      </w:r>
      <w:r>
        <w:rPr>
          <w:rFonts w:ascii="Times New Roman" w:hAnsi="Times New Roman"/>
          <w:b/>
          <w:caps w:val="false"/>
          <w:smallCaps w:val="false"/>
          <w:sz w:val="20"/>
        </w:rPr>
        <w:t>.</w:t>
      </w:r>
      <w:r>
        <w:rPr>
          <w:rFonts w:ascii="Times New Roman" w:hAnsi="Times New Roman"/>
          <w:caps w:val="false"/>
          <w:smallCaps w:val="false"/>
          <w:sz w:val="20"/>
        </w:rPr>
        <w:t xml:space="preserve">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hAnsi="Times New Roman"/>
          <w:b/>
          <w:caps w:val="false"/>
          <w:smallCaps w:val="false"/>
          <w:sz w:val="20"/>
        </w:rPr>
        <w:t>FCPA</w:t>
      </w:r>
      <w:r>
        <w:rPr>
          <w:rFonts w:ascii="Times New Roman" w:hAnsi="Times New Roman"/>
          <w:caps w:val="false"/>
          <w:smallCaps w:val="false"/>
          <w:sz w:val="20"/>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material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(mm)</w:t>
      </w:r>
      <w:r>
        <w:rPr>
          <w:rFonts w:ascii="Times New Roman" w:hAnsi="Times New Roman"/>
          <w:caps w:val="false"/>
          <w:smallCaps w:val="false"/>
          <w:sz w:val="20"/>
        </w:rPr>
        <w:t>     </w:t>
      </w:r>
      <w:r>
        <w:rPr>
          <w:rFonts w:ascii="Times New Roman" w:hAnsi="Times New Roman"/>
          <w:b/>
          <w:i/>
          <w:caps w:val="false"/>
          <w:smallCaps w:val="false"/>
          <w:sz w:val="20"/>
        </w:rPr>
        <w:t>Money Laundering Laws</w:t>
      </w:r>
      <w:r>
        <w:rPr>
          <w:rFonts w:ascii="Times New Roman" w:hAnsi="Times New Roman"/>
          <w:b/>
          <w:caps w:val="false"/>
          <w:smallCaps w:val="false"/>
          <w:sz w:val="20"/>
        </w:rPr>
        <w:t>.</w:t>
      </w:r>
      <w:r>
        <w:rPr>
          <w:rFonts w:ascii="Times New Roman" w:hAnsi="Times New Roman"/>
          <w:caps w:val="false"/>
          <w:smallCaps w:val="false"/>
          <w:sz w:val="20"/>
        </w:rPr>
        <w:t xml:space="preserve"> 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hAnsi="Times New Roman"/>
          <w:b/>
          <w:caps w:val="false"/>
          <w:smallCaps w:val="false"/>
          <w:sz w:val="20"/>
        </w:rPr>
        <w:t>Money Laundering Laws</w:t>
      </w:r>
      <w:r>
        <w:rPr>
          <w:rFonts w:ascii="Times New Roman" w:hAnsi="Times New Roman"/>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(nn)</w:t>
      </w:r>
      <w:r>
        <w:rPr>
          <w:rFonts w:ascii="Times New Roman" w:hAnsi="Times New Roman"/>
          <w:caps w:val="false"/>
          <w:smallCaps w:val="false"/>
          <w:sz w:val="20"/>
        </w:rPr>
        <w:t>       </w:t>
      </w:r>
      <w:r>
        <w:rPr>
          <w:rFonts w:ascii="Times New Roman" w:hAnsi="Times New Roman"/>
          <w:b/>
          <w:i/>
          <w:caps w:val="false"/>
          <w:smallCaps w:val="false"/>
          <w:sz w:val="20"/>
        </w:rPr>
        <w:t>Sanctions</w:t>
      </w:r>
      <w:r>
        <w:rPr>
          <w:rFonts w:ascii="Times New Roman" w:hAnsi="Times New Roman"/>
          <w:b/>
          <w:caps w:val="false"/>
          <w:smallCaps w:val="false"/>
          <w:sz w:val="20"/>
        </w:rPr>
        <w:t>.</w:t>
      </w:r>
      <w:r>
        <w:rPr>
          <w:rFonts w:ascii="Times New Roman" w:hAnsi="Times New Roman"/>
          <w:caps w:val="false"/>
          <w:smallCaps w:val="false"/>
          <w:sz w:val="20"/>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hAnsi="Times New Roman"/>
          <w:b/>
          <w:caps w:val="false"/>
          <w:smallCaps w:val="false"/>
          <w:sz w:val="20"/>
        </w:rPr>
        <w:t>OFAC</w:t>
      </w:r>
      <w:r>
        <w:rPr>
          <w:rFonts w:ascii="Times New Roman" w:hAnsi="Times New Roman"/>
          <w:caps w:val="false"/>
          <w:smallCaps w:val="false"/>
          <w:sz w:val="20"/>
        </w:rPr>
        <w:t>”) or the U.S. Department of State, the United Nations Security Council, the European Union, His Majesty’s Treasury of the United Kingdom, or other relevant sanctions authority (collectively, “</w:t>
      </w:r>
      <w:r>
        <w:rPr>
          <w:rFonts w:ascii="Times New Roman" w:hAnsi="Times New Roman"/>
          <w:b/>
          <w:caps w:val="false"/>
          <w:smallCaps w:val="false"/>
          <w:sz w:val="20"/>
        </w:rPr>
        <w:t>Sanctions</w:t>
      </w:r>
      <w:r>
        <w:rPr>
          <w:rFonts w:ascii="Times New Roman" w:hAnsi="Times New Roman"/>
          <w:caps w:val="false"/>
          <w:smallCaps w:val="false"/>
          <w:sz w:val="20"/>
        </w:rPr>
        <w:t>”); nor is the Company or any of its subsidiaries located, organized or resident in a country or territory that is the subject or the target of Sanctions, including, without limitation, Crimea, Cuba, Iran, North Korea, Syria, and the so-called Donetsk People’s Republic and so-called Luhansk People’s Republic regions of Ukraine;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(oo)</w:t>
      </w:r>
      <w:r>
        <w:rPr>
          <w:rFonts w:ascii="Times New Roman" w:hAnsi="Times New Roman"/>
          <w:caps w:val="false"/>
          <w:smallCaps w:val="false"/>
          <w:sz w:val="20"/>
        </w:rPr>
        <w:t xml:space="preserve">        </w:t>
      </w:r>
      <w:r>
        <w:rPr>
          <w:rFonts w:ascii="Times New Roman" w:hAnsi="Times New Roman"/>
          <w:b/>
          <w:i/>
          <w:caps w:val="false"/>
          <w:smallCaps w:val="false"/>
          <w:sz w:val="20"/>
        </w:rPr>
        <w:t>Brokers</w:t>
      </w:r>
      <w:r>
        <w:rPr>
          <w:rFonts w:ascii="Times New Roman" w:hAnsi="Times New Roman"/>
          <w:b/>
          <w:caps w:val="false"/>
          <w:smallCaps w:val="false"/>
          <w:sz w:val="20"/>
        </w:rPr>
        <w:t>.</w:t>
      </w:r>
      <w:r>
        <w:rPr>
          <w:rFonts w:ascii="Times New Roman" w:hAnsi="Times New Roman"/>
          <w:caps w:val="false"/>
          <w:smallCaps w:val="false"/>
          <w:sz w:val="20"/>
        </w:rPr>
        <w:t xml:space="preserve"> Except pursuant to this Agreement,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(pp)</w:t>
      </w:r>
      <w:r>
        <w:rPr>
          <w:rFonts w:ascii="Times New Roman" w:hAnsi="Times New Roman"/>
          <w:caps w:val="false"/>
          <w:smallCaps w:val="false"/>
          <w:sz w:val="20"/>
        </w:rPr>
        <w:t>       </w:t>
      </w:r>
      <w:r>
        <w:rPr>
          <w:rFonts w:ascii="Times New Roman" w:hAnsi="Times New Roman"/>
          <w:b/>
          <w:i/>
          <w:caps w:val="false"/>
          <w:smallCaps w:val="false"/>
          <w:sz w:val="20"/>
        </w:rPr>
        <w:t>Forward-Looking Statements.</w:t>
      </w:r>
      <w:r>
        <w:rPr>
          <w:rFonts w:ascii="Times New Roman" w:hAnsi="Times New Roman"/>
          <w:caps w:val="false"/>
          <w:smallCaps w:val="false"/>
          <w:sz w:val="20"/>
        </w:rPr>
        <w:t xml:space="preserve"> 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w:t>
        <w:noBreakHyphen/>
        <w:t>looking statement. No such statement was made with the knowledge of an executive officer or director of the Company that it was false 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(qq)</w:t>
      </w:r>
      <w:r>
        <w:rPr>
          <w:rFonts w:ascii="Times New Roman" w:hAnsi="Times New Roman"/>
          <w:caps w:val="false"/>
          <w:smallCaps w:val="false"/>
          <w:sz w:val="20"/>
        </w:rPr>
        <w:t xml:space="preserve">        </w:t>
      </w:r>
      <w:r>
        <w:rPr>
          <w:rFonts w:ascii="Times New Roman" w:hAnsi="Times New Roman"/>
          <w:b/>
          <w:i/>
          <w:caps w:val="false"/>
          <w:smallCaps w:val="false"/>
          <w:sz w:val="20"/>
        </w:rPr>
        <w:t>No Outstanding Loans or Other Extensions of Credit</w:t>
      </w:r>
      <w:r>
        <w:rPr>
          <w:rFonts w:ascii="Times New Roman" w:hAnsi="Times New Roman"/>
          <w:caps w:val="false"/>
          <w:smallCaps w:val="false"/>
          <w:sz w:val="20"/>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(rr)</w:t>
      </w:r>
      <w:r>
        <w:rPr>
          <w:rFonts w:ascii="Times New Roman" w:hAnsi="Times New Roman"/>
          <w:caps w:val="false"/>
          <w:smallCaps w:val="false"/>
          <w:sz w:val="20"/>
        </w:rPr>
        <w:t xml:space="preserve">        </w:t>
      </w:r>
      <w:r>
        <w:rPr>
          <w:rFonts w:ascii="Times New Roman" w:hAnsi="Times New Roman"/>
          <w:b/>
          <w:i/>
          <w:caps w:val="false"/>
          <w:smallCaps w:val="false"/>
          <w:sz w:val="20"/>
        </w:rPr>
        <w:t>Cybersecurity</w:t>
      </w:r>
      <w:r>
        <w:rPr>
          <w:rFonts w:ascii="Times New Roman" w:hAnsi="Times New Roman"/>
          <w:caps w:val="false"/>
          <w:smallCaps w:val="false"/>
          <w:sz w:val="20"/>
        </w:rPr>
        <w:t>. Except as would not reasonably be expected, individually or in the aggregate, to result in a Material Adverse Change; (i) the Company and its subsidiaries’ information technology assets and equipment, computers, systems, networks, hardware, software, websites, applications, and databases, and, to the knowledge of the Company, those that are operated by or on behalf of the Company (collectively, “</w:t>
      </w:r>
      <w:r>
        <w:rPr>
          <w:rFonts w:ascii="Times New Roman" w:hAnsi="Times New Roman"/>
          <w:b/>
          <w:caps w:val="false"/>
          <w:smallCaps w:val="false"/>
          <w:sz w:val="20"/>
        </w:rPr>
        <w:t>IT Systems</w:t>
      </w:r>
      <w:r>
        <w:rPr>
          <w:rFonts w:ascii="Times New Roman" w:hAnsi="Times New Roman"/>
          <w:caps w:val="false"/>
          <w:smallCaps w:val="false"/>
          <w:sz w:val="20"/>
        </w:rPr>
        <w:t>”) are adequate for, and operate and perform in all material respects as required in connection with the operation of the business of the Company and its subsidiaries as currently conducted, and to the Company’s knowledge, are free and clear of all material bugs, errors, defects, Trojan horses, time bombs, malware and other corruptants; (ii)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all personal, personally identifiable, sensitive, confidential or regulated data (“</w:t>
      </w:r>
      <w:r>
        <w:rPr>
          <w:rFonts w:ascii="Times New Roman" w:hAnsi="Times New Roman"/>
          <w:b/>
          <w:caps w:val="false"/>
          <w:smallCaps w:val="false"/>
          <w:sz w:val="20"/>
        </w:rPr>
        <w:t>Personal Data</w:t>
      </w:r>
      <w:r>
        <w:rPr>
          <w:rFonts w:ascii="Times New Roman" w:hAnsi="Times New Roman"/>
          <w:caps w:val="false"/>
          <w:smallCaps w:val="false"/>
          <w:sz w:val="20"/>
        </w:rPr>
        <w:t>”) used in connection with their businesses. To the Company’s knowledge,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reasonably be expected, individually or in the aggregate,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(ss)</w:t>
      </w:r>
      <w:r>
        <w:rPr>
          <w:rFonts w:ascii="Times New Roman" w:hAnsi="Times New Roman"/>
          <w:caps w:val="false"/>
          <w:smallCaps w:val="false"/>
          <w:sz w:val="20"/>
        </w:rPr>
        <w:t xml:space="preserve">        </w:t>
      </w:r>
      <w:r>
        <w:rPr>
          <w:rFonts w:ascii="Times New Roman" w:hAnsi="Times New Roman"/>
          <w:b/>
          <w:i/>
          <w:caps w:val="false"/>
          <w:smallCaps w:val="false"/>
          <w:sz w:val="20"/>
        </w:rPr>
        <w:t>Compliance with Data Privacy Laws</w:t>
      </w:r>
      <w:r>
        <w:rPr>
          <w:rFonts w:ascii="Times New Roman" w:hAnsi="Times New Roman"/>
          <w:caps w:val="false"/>
          <w:smallCaps w:val="false"/>
          <w:sz w:val="20"/>
        </w:rPr>
        <w:t>. Except as would not reasonably be expected, individually or in the aggregate, to result in a Material Adverse Change, the Company and its subsidiaries are, and for the past three (3) years have been, in compliance with all applicable state and federal data privacy and security laws and regulations, including, to the extent applicable, HIPAA (collectively, the “</w:t>
      </w:r>
      <w:r>
        <w:rPr>
          <w:rFonts w:ascii="Times New Roman" w:hAnsi="Times New Roman"/>
          <w:b/>
          <w:caps w:val="false"/>
          <w:smallCaps w:val="false"/>
          <w:sz w:val="20"/>
        </w:rPr>
        <w:t>Privacy Laws</w:t>
      </w:r>
      <w:r>
        <w:rPr>
          <w:rFonts w:ascii="Times New Roman" w:hAnsi="Times New Roman"/>
          <w:caps w:val="false"/>
          <w:smallCaps w:val="false"/>
          <w:sz w:val="20"/>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hAnsi="Times New Roman"/>
          <w:b/>
          <w:caps w:val="false"/>
          <w:smallCaps w:val="false"/>
          <w:sz w:val="20"/>
        </w:rPr>
        <w:t>Policies</w:t>
      </w:r>
      <w:r>
        <w:rPr>
          <w:rFonts w:ascii="Times New Roman" w:hAnsi="Times New Roman"/>
          <w:caps w:val="false"/>
          <w:smallCaps w:val="false"/>
          <w:sz w:val="20"/>
        </w:rPr>
        <w:t>”). Except as would not reasonably be expected, individually or in the aggregate, to result in a Material Adverse Change, the Company and its subsidiaries have at all times made all disclosures to users or customers required by applicable laws, Privacy Laws and regulatory rules or requirements, and none of such disclosures made or contained in any Policy have, to the knowledge of the Company, been inaccurate, misleading, deceptive or in violation of any applicable laws, Privacy Laws, Policies, and regulatory rules or requirements in any material respect. Neither the Company nor any subsidiary: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(iii) is a party to any order, decree, or agreement that imposes any obligation or liability by any governmental or regulatory authority under any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(tt)</w:t>
      </w:r>
      <w:r>
        <w:rPr>
          <w:rFonts w:ascii="Times New Roman" w:hAnsi="Times New Roman"/>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(uu)</w:t>
      </w:r>
      <w:r>
        <w:rPr>
          <w:rFonts w:ascii="Times New Roman" w:hAnsi="Times New Roman"/>
          <w:caps w:val="false"/>
          <w:smallCaps w:val="false"/>
          <w:sz w:val="20"/>
        </w:rPr>
        <w:t>       </w:t>
      </w:r>
      <w:r>
        <w:rPr>
          <w:rFonts w:ascii="Times New Roman" w:hAnsi="Times New Roman"/>
          <w:b/>
          <w:i/>
          <w:caps w:val="false"/>
          <w:smallCaps w:val="false"/>
          <w:sz w:val="20"/>
        </w:rPr>
        <w:t>Clinical Data and Regulatory Compliance.</w:t>
      </w:r>
      <w:r>
        <w:rPr>
          <w:rFonts w:ascii="Times New Roman" w:hAnsi="Times New Roman"/>
          <w:caps w:val="false"/>
          <w:smallCaps w:val="false"/>
          <w:sz w:val="20"/>
        </w:rPr>
        <w:t xml:space="preserve"> The preclinical tests and clinical trials, and other studies (collectively, “studies”) that are described in, or the results of which are referred to in, the Registration Statement, the Time of Sale Prospectus or the Prospectus were and, if still pending, are being conducted in all material respects in accordance with applicable Health Care Laws, each description of the results of such studies is accurate and complete in all material respects and fairly presents the data derived from such studies, and the Company and its subsidiaries have no knowledge of any other studies the results of which are materially inconsistent with, or otherwise materially call into question, the results described or referred to in the Registration Statement, the Time of Sale Prospectuses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 w:hAnsi="Times New Roman"/>
          <w:b/>
          <w:caps w:val="false"/>
          <w:smallCaps w:val="false"/>
          <w:sz w:val="20"/>
        </w:rPr>
        <w:t>Regulatory Agencies</w:t>
      </w:r>
      <w:r>
        <w:rPr>
          <w:rFonts w:ascii="Times New Roman" w:hAnsi="Times New Roman"/>
          <w:caps w:val="false"/>
          <w:smallCaps w:val="false"/>
          <w:sz w:val="20"/>
        </w:rPr>
        <w:t>”), except for such failure which would not, individually or in the aggregate, reasonably be expected to result in a Material Adverse Change; and neither the Company nor any of its subsidiaries has received any notice of, or correspondence from, any Regulatory Agency requiring the termination, suspension or material adverse modification of any clinical trials that are described or referred to in the Registration Statement, the Time of Sale Prospectus or the Prospectus, other than any suspension that was subsequently lifted prior to January 1,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(vv)</w:t>
      </w:r>
      <w:r>
        <w:rPr>
          <w:rFonts w:ascii="Times New Roman" w:hAnsi="Times New Roman"/>
          <w:caps w:val="false"/>
          <w:smallCaps w:val="false"/>
          <w:sz w:val="20"/>
        </w:rPr>
        <w:t xml:space="preserve">        </w:t>
      </w:r>
      <w:r>
        <w:rPr>
          <w:rFonts w:ascii="Times New Roman" w:hAnsi="Times New Roman"/>
          <w:b/>
          <w:i/>
          <w:caps w:val="false"/>
          <w:smallCaps w:val="false"/>
          <w:sz w:val="20"/>
        </w:rPr>
        <w:t>Compliance with Health Care Laws</w:t>
      </w:r>
      <w:r>
        <w:rPr>
          <w:rFonts w:ascii="Times New Roman" w:hAnsi="Times New Roman"/>
          <w:caps w:val="false"/>
          <w:smallCaps w:val="false"/>
          <w:sz w:val="20"/>
        </w:rPr>
        <w:t>. The Company and its subsidiaries are, and at all times have been, in compliance with all Health Care Laws, except for such noncompliance which would not, individually or in the aggregate, reasonably be expected to result in a Material Adverse Change.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all other local, state, federal, national, supranational and foreign laws, relating to the regulation of the Company or its subsidiaries, and (v)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except as would not reasonably be expected to result in a Material Adverse Change.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to the knowledge of the Company and its subsidiaries,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(ww)</w:t>
      </w:r>
      <w:r>
        <w:rPr>
          <w:rFonts w:ascii="Times New Roman" w:hAnsi="Times New Roman"/>
          <w:caps w:val="false"/>
          <w:smallCaps w:val="false"/>
          <w:sz w:val="20"/>
        </w:rPr>
        <w:t xml:space="preserve">      </w:t>
      </w:r>
      <w:r>
        <w:rPr>
          <w:rFonts w:ascii="Times New Roman" w:hAnsi="Times New Roman"/>
          <w:b/>
          <w:i/>
          <w:caps w:val="false"/>
          <w:smallCaps w:val="false"/>
          <w:sz w:val="20"/>
        </w:rPr>
        <w:t>No Contract Terminations.</w:t>
      </w:r>
      <w:r>
        <w:rPr>
          <w:rFonts w:ascii="Times New Roman" w:hAnsi="Times New Roman"/>
          <w:caps w:val="false"/>
          <w:smallCaps w:val="false"/>
          <w:sz w:val="20"/>
        </w:rPr>
        <w:t xml:space="preserve"> Neither the Company nor any of its subsidiaries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 in each case except as would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certificate signed by any officer of the Company or any of its subsidiaries and delivered to any Underwriter or to counsel for the Underwriters in connection with the offering, or the purchase and sale, of the Offered Securities shall be deemed a representation and warranty by the Company to each Underwriter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w:t>
      </w:r>
      <w:r>
        <w:rPr>
          <w:rFonts w:ascii="Times New Roman" w:hAnsi="Times New Roman"/>
          <w:b/>
          <w:caps w:val="false"/>
          <w:smallCaps w:val="false"/>
          <w:sz w:val="20"/>
        </w:rPr>
        <w:t>Purchase, Sale and Delivery of the Offered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xml:space="preserve">          </w:t>
      </w:r>
      <w:r>
        <w:rPr>
          <w:rFonts w:ascii="Times New Roman" w:hAnsi="Times New Roman"/>
          <w:b/>
          <w:i/>
          <w:caps w:val="false"/>
          <w:smallCaps w:val="false"/>
          <w:sz w:val="20"/>
        </w:rPr>
        <w:t>The Offered Securities</w:t>
      </w:r>
      <w:r>
        <w:rPr>
          <w:rFonts w:ascii="Times New Roman" w:hAnsi="Times New Roman"/>
          <w:b/>
          <w:caps w:val="false"/>
          <w:smallCaps w:val="false"/>
          <w:sz w:val="20"/>
        </w:rPr>
        <w:t>.</w:t>
      </w:r>
      <w:r>
        <w:rPr>
          <w:rFonts w:ascii="Times New Roman" w:hAnsi="Times New Roman"/>
          <w:caps w:val="false"/>
          <w:smallCaps w:val="false"/>
          <w:sz w:val="20"/>
        </w:rPr>
        <w:t xml:space="preserve"> Upon the terms herein set forth, the Company agrees to issue and sell to the several Underwriters, and on the basis of the representations, warranties and agreements herein contained, and upon the terms but subject to the conditions herein set forth, the Underwriters agree, severally and not jointly, to purchase from the Company, (i) at a combined purchase price for one Offered Share, one accompanying Tranche 1 Warrant and one accompanying Tranche 2 Warrant, of $5.0572 and (ii) at a combined purchase price for one Pre-Funded Warrant, one accompanying Tranche 1 Warrant and one accompanying Tranche 2 Warrant, of $5.05626, the respective number of Offered Securities set forth opposite their names on </w:t>
      </w:r>
      <w:r>
        <w:rPr>
          <w:rFonts w:ascii="Times New Roman" w:hAnsi="Times New Roman"/>
          <w:caps w:val="false"/>
          <w:smallCaps w:val="false"/>
          <w:sz w:val="20"/>
          <w:u w:val="single"/>
        </w:rPr>
        <w:t>Schedule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(b)       </w:t>
      </w:r>
      <w:r>
        <w:rPr>
          <w:rFonts w:ascii="Times New Roman" w:hAnsi="Times New Roman"/>
          <w:caps w:val="false"/>
          <w:smallCaps w:val="false"/>
          <w:sz w:val="20"/>
        </w:rPr>
        <w:t>   </w:t>
      </w:r>
      <w:r>
        <w:rPr>
          <w:rFonts w:ascii="Times New Roman" w:hAnsi="Times New Roman"/>
          <w:b/>
          <w:i/>
          <w:caps w:val="false"/>
          <w:smallCaps w:val="false"/>
          <w:sz w:val="20"/>
        </w:rPr>
        <w:t>The Closing Date</w:t>
      </w:r>
      <w:r>
        <w:rPr>
          <w:rFonts w:ascii="Times New Roman" w:hAnsi="Times New Roman"/>
          <w:b/>
          <w:caps w:val="false"/>
          <w:smallCaps w:val="false"/>
          <w:sz w:val="20"/>
        </w:rPr>
        <w:t>.</w:t>
      </w:r>
      <w:r>
        <w:rPr>
          <w:rFonts w:ascii="Times New Roman" w:hAnsi="Times New Roman"/>
          <w:caps w:val="false"/>
          <w:smallCaps w:val="false"/>
          <w:sz w:val="20"/>
        </w:rPr>
        <w:t xml:space="preserve"> Delivery of certificates for the Offered Securities to be purchased by the Underwriters and payment therefor shall be made at the offices of Cooley LLP (or such other place as may be agreed to by the Company and the Representatives) at 9:00 a.m. New York City time, on October 4, 2023, or such other time and date not later than 1:30 p.m. New York City time, on October 19, 2023 as the Representatives shall designate by notice to the Company (the time and date of such closing are called the “</w:t>
      </w:r>
      <w:r>
        <w:rPr>
          <w:rFonts w:ascii="Times New Roman" w:hAnsi="Times New Roman"/>
          <w:b/>
          <w:caps w:val="false"/>
          <w:smallCaps w:val="false"/>
          <w:sz w:val="20"/>
        </w:rPr>
        <w:t>Closing Date</w:t>
      </w:r>
      <w:r>
        <w:rPr>
          <w:rFonts w:ascii="Times New Roman" w:hAnsi="Times New Roman"/>
          <w:caps w:val="false"/>
          <w:smallCaps w:val="false"/>
          <w:sz w:val="20"/>
        </w:rPr>
        <w:t>”). The Company hereby acknowledges that circumstances under which the Representatives may provide notice to postpone the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xml:space="preserve">          </w:t>
      </w:r>
      <w:r>
        <w:rPr>
          <w:rFonts w:ascii="Times New Roman" w:hAnsi="Times New Roman"/>
          <w:b/>
          <w:i/>
          <w:caps w:val="false"/>
          <w:smallCaps w:val="false"/>
          <w:sz w:val="20"/>
        </w:rPr>
        <w:t>Public Offering of the Offered Securities</w:t>
      </w:r>
      <w:r>
        <w:rPr>
          <w:rFonts w:ascii="Times New Roman" w:hAnsi="Times New Roman"/>
          <w:b/>
          <w:caps w:val="false"/>
          <w:smallCaps w:val="false"/>
          <w:sz w:val="20"/>
        </w:rPr>
        <w:t>.</w:t>
      </w:r>
      <w:r>
        <w:rPr>
          <w:rFonts w:ascii="Times New Roman" w:hAnsi="Times New Roman"/>
          <w:caps w:val="false"/>
          <w:smallCaps w:val="false"/>
          <w:sz w:val="20"/>
        </w:rPr>
        <w:t xml:space="preserve"> The Representatives hereby advise the Company that the Underwriters intend to offer for sale to the public, initially on the terms set forth in the Registration Statement, the Time of Sale Prospectus and the Prospectus, their respective portions of the Offered Securities as soon after this Agreement has been executed as the Representatives, in their sole judgment, have determined is advisable and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Payment for the Offered Securities</w:t>
      </w:r>
      <w:r>
        <w:rPr>
          <w:rFonts w:ascii="Times New Roman" w:hAnsi="Times New Roman"/>
          <w:b/>
          <w:caps w:val="false"/>
          <w:smallCaps w:val="false"/>
          <w:sz w:val="20"/>
        </w:rPr>
        <w:t>.</w:t>
      </w:r>
      <w:r>
        <w:rPr>
          <w:rFonts w:ascii="Times New Roman" w:hAnsi="Times New Roman"/>
          <w:caps w:val="false"/>
          <w:smallCaps w:val="false"/>
          <w:sz w:val="20"/>
        </w:rPr>
        <w:t> (i) Payment for the Offered Securities shall be made at the Closing Date by wire transfer of immediately available funds to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It is understood that Jefferies has been authorized, for its own account and the accounts of the several Underwriters, to accept delivery of and receipt for, and make payment of the purchase price for, the Offered Securities have agreed to purchase. Jefferies, individually and not as a Representative of the Underwriters, may (but shall not be obligated to) make payment for any Offered Securities to be purchased by any Underwriter whose funds shall not have been received by Jefferies by the Closing Date, for the account of such Underwriter, but any such payment shall not relieve such Underwriter from any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xml:space="preserve">          </w:t>
      </w:r>
      <w:r>
        <w:rPr>
          <w:rFonts w:ascii="Times New Roman" w:hAnsi="Times New Roman"/>
          <w:b/>
          <w:i/>
          <w:caps w:val="false"/>
          <w:smallCaps w:val="false"/>
          <w:sz w:val="20"/>
        </w:rPr>
        <w:t>Delivery of the Offered Securities</w:t>
      </w:r>
      <w:r>
        <w:rPr>
          <w:rFonts w:ascii="Times New Roman" w:hAnsi="Times New Roman"/>
          <w:b/>
          <w:caps w:val="false"/>
          <w:smallCaps w:val="false"/>
          <w:sz w:val="20"/>
        </w:rPr>
        <w:t>.</w:t>
      </w:r>
      <w:r>
        <w:rPr>
          <w:rFonts w:ascii="Times New Roman" w:hAnsi="Times New Roman"/>
          <w:caps w:val="false"/>
          <w:smallCaps w:val="false"/>
          <w:sz w:val="20"/>
        </w:rPr>
        <w:t xml:space="preserve"> The Company shall deliver, or cause to be delivered to Jefferies for the accounts of the several Underwriters certificates for the Offered Securities to be sold by them at the Closing Date, against release of a wire transfer of immediately available funds for the amount of the purchase price therefor. If Jefferies so elects, delivery of the Offered Securities may be made by credit to the accounts designated by Jefferies through The Depository Trust Company’s full fast transfer or DWAC programs. If Jefferies so elects, the certificates for the Offered Shares and the Offered Warrants shall be in definitive form and registered in such names and denominations as Jefferies shall have requested at least two full business days prior to the Closing Date and shall be made available for inspection on the business day preceding the Closing Date at a location in New York City as Jefferies may designate. Time shall be of the essence, and delivery at the time and place specified in this Agreement is a further condition to the obligations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t>    </w:t>
      </w:r>
      <w:r>
        <w:rPr>
          <w:rFonts w:ascii="Times New Roman" w:hAnsi="Times New Roman"/>
          <w:b/>
          <w:caps w:val="false"/>
          <w:smallCaps w:val="false"/>
          <w:sz w:val="20"/>
        </w:rPr>
        <w:t>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xml:space="preserve">          </w:t>
      </w:r>
      <w:r>
        <w:rPr>
          <w:rFonts w:ascii="Times New Roman" w:hAnsi="Times New Roman"/>
          <w:b/>
          <w:i/>
          <w:caps w:val="false"/>
          <w:smallCaps w:val="false"/>
          <w:sz w:val="20"/>
        </w:rPr>
        <w:t>Delivery of Registration Statement, Time of Sale Prospectus and Prospectus.</w:t>
      </w:r>
      <w:r>
        <w:rPr>
          <w:rFonts w:ascii="Times New Roman" w:hAnsi="Times New Roman"/>
          <w:caps w:val="false"/>
          <w:smallCaps w:val="false"/>
          <w:sz w:val="20"/>
        </w:rPr>
        <w:t xml:space="preserve"> The Company shall furnish to you in New York City, 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i/>
          <w:caps w:val="false"/>
          <w:smallCaps w:val="false"/>
          <w:sz w:val="20"/>
        </w:rPr>
        <w:t>Representatives</w:t>
      </w:r>
      <w:r>
        <w:rPr>
          <w:rFonts w:ascii="Times New Roman" w:hAnsi="Times New Roman"/>
          <w:caps w:val="false"/>
          <w:smallCaps w:val="false"/>
          <w:sz w:val="20"/>
        </w:rPr>
        <w:t xml:space="preserve">’ </w:t>
      </w:r>
      <w:r>
        <w:rPr>
          <w:rFonts w:ascii="Times New Roman" w:hAnsi="Times New Roman"/>
          <w:b/>
          <w:i/>
          <w:caps w:val="false"/>
          <w:smallCaps w:val="false"/>
          <w:sz w:val="20"/>
        </w:rPr>
        <w:t>Review of Proposed Amendments and Supplements.</w:t>
      </w:r>
      <w:r>
        <w:rPr>
          <w:rFonts w:ascii="Times New Roman" w:hAnsi="Times New Roman"/>
          <w:caps w:val="false"/>
          <w:smallCaps w:val="false"/>
          <w:sz w:val="20"/>
        </w:rPr>
        <w:t xml:space="preserve"> During the period when a prospectus relating to the Offered Securities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shall not unreasonably be withheld.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shall not unreasonably be withheld. The Company shall file with the Commission within the applicable period specified in Rule 424(b) under the Securities Act any prospectus required to be filed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xml:space="preserve">          </w:t>
      </w:r>
      <w:r>
        <w:rPr>
          <w:rFonts w:ascii="Times New Roman" w:hAnsi="Times New Roman"/>
          <w:b/>
          <w:i/>
          <w:caps w:val="false"/>
          <w:smallCaps w:val="false"/>
          <w:sz w:val="20"/>
        </w:rPr>
        <w:t>Free Writing Prospectuses.</w:t>
      </w:r>
      <w:r>
        <w:rPr>
          <w:rFonts w:ascii="Times New Roman" w:hAnsi="Times New Roman"/>
          <w:caps w:val="false"/>
          <w:smallCaps w:val="false"/>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shall not unreasonably be withheld.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hAnsi="Times New Roman"/>
          <w:i/>
          <w:caps w:val="false"/>
          <w:smallCaps w:val="false"/>
          <w:sz w:val="20"/>
        </w:rPr>
        <w:t>provided, however</w:t>
      </w:r>
      <w:r>
        <w:rPr>
          <w:rFonts w:ascii="Times New Roman" w:hAnsi="Times New Roman"/>
          <w:caps w:val="false"/>
          <w:smallCaps w:val="false"/>
          <w:sz w:val="20"/>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shall not unreasonably be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(d)       </w:t>
      </w:r>
      <w:r>
        <w:rPr>
          <w:rFonts w:ascii="Times New Roman" w:hAnsi="Times New Roman"/>
          <w:caps w:val="false"/>
          <w:smallCaps w:val="false"/>
          <w:sz w:val="20"/>
        </w:rPr>
        <w:t>   </w:t>
      </w:r>
      <w:r>
        <w:rPr>
          <w:rFonts w:ascii="Times New Roman" w:hAnsi="Times New Roman"/>
          <w:b/>
          <w:i/>
          <w:caps w:val="false"/>
          <w:smallCaps w:val="false"/>
          <w:sz w:val="20"/>
        </w:rPr>
        <w:t>Filing of Underwriter Free Writing Prospectuses.</w:t>
      </w:r>
      <w:r>
        <w:rPr>
          <w:rFonts w:ascii="Times New Roman" w:hAnsi="Times New Roman"/>
          <w:caps w:val="false"/>
          <w:smallCaps w:val="false"/>
          <w:sz w:val="20"/>
        </w:rPr>
        <w:t xml:space="preserve">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w:t>
      </w:r>
      <w:r>
        <w:rPr>
          <w:rFonts w:ascii="Times New Roman" w:hAnsi="Times New Roman"/>
          <w:b/>
          <w:i/>
          <w:caps w:val="false"/>
          <w:smallCaps w:val="false"/>
          <w:sz w:val="20"/>
        </w:rPr>
        <w:t>Amendments and Supplements to Time of Sale Prospectus.</w:t>
      </w:r>
      <w:r>
        <w:rPr>
          <w:rFonts w:ascii="Times New Roman" w:hAnsi="Times New Roman"/>
          <w:caps w:val="false"/>
          <w:smallCaps w:val="false"/>
          <w:sz w:val="20"/>
        </w:rPr>
        <w:t xml:space="preserve"> If the Time of Sale Prospectus is being used to solicit offers to buy the 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xml:space="preserve">          </w:t>
      </w:r>
      <w:r>
        <w:rPr>
          <w:rFonts w:ascii="Times New Roman" w:hAnsi="Times New Roman"/>
          <w:b/>
          <w:i/>
          <w:caps w:val="false"/>
          <w:smallCaps w:val="false"/>
          <w:sz w:val="20"/>
        </w:rPr>
        <w:t>Certain Notifications and Required Actions</w:t>
      </w:r>
      <w:r>
        <w:rPr>
          <w:rFonts w:ascii="Times New Roman" w:hAnsi="Times New Roman"/>
          <w:b/>
          <w:caps w:val="false"/>
          <w:smallCaps w:val="false"/>
          <w:sz w:val="20"/>
        </w:rPr>
        <w:t>.</w:t>
      </w:r>
      <w:r>
        <w:rPr>
          <w:rFonts w:ascii="Times New Roman" w:hAnsi="Times New Roman"/>
          <w:caps w:val="false"/>
          <w:smallCaps w:val="false"/>
          <w:sz w:val="20"/>
        </w:rPr>
        <w:t xml:space="preserve"> After the date of this Agreement and until such time as the Underwriters are no longer required to deliver a Prospectus in order to confirm sales of the Offered Securities,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of Common Stock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xml:space="preserve">          </w:t>
      </w:r>
      <w:r>
        <w:rPr>
          <w:rFonts w:ascii="Times New Roman" w:hAnsi="Times New Roman"/>
          <w:b/>
          <w:i/>
          <w:caps w:val="false"/>
          <w:smallCaps w:val="false"/>
          <w:sz w:val="20"/>
        </w:rPr>
        <w:t>Amendments and Supplements to the Prospectus and Other Securities Act Matters.</w:t>
      </w:r>
      <w:r>
        <w:rPr>
          <w:rFonts w:ascii="Times New Roman" w:hAnsi="Times New Roman"/>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(h)      </w:t>
      </w:r>
      <w:r>
        <w:rPr>
          <w:rFonts w:ascii="Times New Roman" w:hAnsi="Times New Roman"/>
          <w:caps w:val="false"/>
          <w:smallCaps w:val="false"/>
          <w:sz w:val="20"/>
        </w:rPr>
        <w:t>    </w:t>
      </w:r>
      <w:r>
        <w:rPr>
          <w:rFonts w:ascii="Times New Roman" w:hAnsi="Times New Roman"/>
          <w:b/>
          <w:i/>
          <w:caps w:val="false"/>
          <w:smallCaps w:val="false"/>
          <w:sz w:val="20"/>
        </w:rPr>
        <w:t>Blue Sky Compliance</w:t>
      </w:r>
      <w:r>
        <w:rPr>
          <w:rFonts w:ascii="Times New Roman" w:hAnsi="Times New Roman"/>
          <w:b/>
          <w:caps w:val="false"/>
          <w:smallCaps w:val="false"/>
          <w:sz w:val="20"/>
        </w:rPr>
        <w:t>.</w:t>
      </w:r>
      <w:r>
        <w:rPr>
          <w:rFonts w:ascii="Times New Roman" w:hAnsi="Times New Roman"/>
          <w:caps w:val="false"/>
          <w:smallCaps w:val="false"/>
          <w:sz w:val="20"/>
        </w:rPr>
        <w:t xml:space="preserve"> The Company shall cooperate with the Representatives and counsel for the Underwriters to qualify or register the Offered Securities for sale under (or obtain exemptions from the application of) the state securities or blue sky laws (or other foreign laws) of those jurisdictions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w:t>
      </w:r>
      <w:r>
        <w:rPr>
          <w:rFonts w:ascii="Times New Roman" w:hAnsi="Times New Roman"/>
          <w:b/>
          <w:i/>
          <w:caps w:val="false"/>
          <w:smallCaps w:val="false"/>
          <w:sz w:val="20"/>
        </w:rPr>
        <w:t>Use of Proceeds</w:t>
      </w:r>
      <w:r>
        <w:rPr>
          <w:rFonts w:ascii="Times New Roman" w:hAnsi="Times New Roman"/>
          <w:b/>
          <w:caps w:val="false"/>
          <w:smallCaps w:val="false"/>
          <w:sz w:val="20"/>
        </w:rPr>
        <w:t>.</w:t>
      </w:r>
      <w:r>
        <w:rPr>
          <w:rFonts w:ascii="Times New Roman" w:hAnsi="Times New Roman"/>
          <w:caps w:val="false"/>
          <w:smallCaps w:val="false"/>
          <w:sz w:val="20"/>
        </w:rPr>
        <w:t xml:space="preserve"> The Company shall apply the net proceeds from the sale of the Offered Securities sold by it in the manner described under the caption “Use of Proceeds”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(j)</w:t>
      </w:r>
      <w:r>
        <w:rPr>
          <w:rFonts w:ascii="Times New Roman" w:hAnsi="Times New Roman"/>
          <w:caps w:val="false"/>
          <w:smallCaps w:val="false"/>
          <w:sz w:val="20"/>
        </w:rPr>
        <w:t xml:space="preserve">          </w:t>
      </w:r>
      <w:r>
        <w:rPr>
          <w:rFonts w:ascii="Times New Roman" w:hAnsi="Times New Roman"/>
          <w:b/>
          <w:i/>
          <w:caps w:val="false"/>
          <w:smallCaps w:val="false"/>
          <w:sz w:val="20"/>
        </w:rPr>
        <w:t>Transfer Agent</w:t>
      </w:r>
      <w:r>
        <w:rPr>
          <w:rFonts w:ascii="Times New Roman" w:hAnsi="Times New Roman"/>
          <w:b/>
          <w:caps w:val="false"/>
          <w:smallCaps w:val="false"/>
          <w:sz w:val="20"/>
        </w:rPr>
        <w:t>.</w:t>
      </w:r>
      <w:r>
        <w:rPr>
          <w:rFonts w:ascii="Times New Roman" w:hAnsi="Times New Roman"/>
          <w:caps w:val="false"/>
          <w:smallCaps w:val="false"/>
          <w:sz w:val="20"/>
        </w:rPr>
        <w:t xml:space="preserve"> The Company shall maintain, at its expense, a registrar and transfer agent for the Offered Shares and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(k)</w:t>
      </w:r>
      <w:r>
        <w:rPr>
          <w:rFonts w:ascii="Times New Roman" w:hAnsi="Times New Roman"/>
          <w:caps w:val="false"/>
          <w:smallCaps w:val="false"/>
          <w:sz w:val="20"/>
        </w:rPr>
        <w:t xml:space="preserve">          </w:t>
      </w:r>
      <w:r>
        <w:rPr>
          <w:rFonts w:ascii="Times New Roman" w:hAnsi="Times New Roman"/>
          <w:b/>
          <w:i/>
          <w:caps w:val="false"/>
          <w:smallCaps w:val="false"/>
          <w:sz w:val="20"/>
        </w:rPr>
        <w:t>Earnings Statement</w:t>
      </w:r>
      <w:r>
        <w:rPr>
          <w:rFonts w:ascii="Times New Roman" w:hAnsi="Times New Roman"/>
          <w:b/>
          <w:caps w:val="false"/>
          <w:smallCaps w:val="false"/>
          <w:sz w:val="20"/>
        </w:rPr>
        <w:t>.</w:t>
      </w:r>
      <w:r>
        <w:rPr>
          <w:rFonts w:ascii="Times New Roman" w:hAnsi="Times New Roman"/>
          <w:caps w:val="false"/>
          <w:smallCaps w:val="false"/>
          <w:sz w:val="20"/>
        </w:rPr>
        <w:t xml:space="preserve"> The Company will make generally available to its security holders and to the Representatives as soon as reasonably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w:t>
      </w:r>
      <w:r>
        <w:rPr>
          <w:rFonts w:ascii="Times New Roman" w:hAnsi="Times New Roman"/>
          <w:i/>
          <w:caps w:val="false"/>
          <w:smallCaps w:val="false"/>
          <w:sz w:val="20"/>
        </w:rPr>
        <w:t>provided, however</w:t>
      </w:r>
      <w:r>
        <w:rPr>
          <w:rFonts w:ascii="Times New Roman" w:hAnsi="Times New Roman"/>
          <w:caps w:val="false"/>
          <w:smallCaps w:val="false"/>
          <w:sz w:val="20"/>
        </w:rPr>
        <w:t>, that the requirements of this Section 3(k) shall be satisfied to the extent that such information is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(l)</w:t>
      </w:r>
      <w:r>
        <w:rPr>
          <w:rFonts w:ascii="Times New Roman" w:hAnsi="Times New Roman"/>
          <w:caps w:val="false"/>
          <w:smallCaps w:val="false"/>
          <w:sz w:val="20"/>
        </w:rPr>
        <w:t>           </w:t>
      </w:r>
      <w:r>
        <w:rPr>
          <w:rFonts w:ascii="Times New Roman" w:hAnsi="Times New Roman"/>
          <w:b/>
          <w:i/>
          <w:caps w:val="false"/>
          <w:smallCaps w:val="false"/>
          <w:sz w:val="20"/>
        </w:rPr>
        <w:t>Continued Compliance with Securities Laws</w:t>
      </w:r>
      <w:r>
        <w:rPr>
          <w:rFonts w:ascii="Times New Roman" w:hAnsi="Times New Roman"/>
          <w:b/>
          <w:caps w:val="false"/>
          <w:smallCaps w:val="false"/>
          <w:sz w:val="20"/>
        </w:rPr>
        <w:t>.</w:t>
      </w:r>
      <w:r>
        <w:rPr>
          <w:rFonts w:ascii="Times New Roman" w:hAnsi="Times New Roman"/>
          <w:caps w:val="false"/>
          <w:smallCaps w:val="false"/>
          <w:sz w:val="20"/>
        </w:rPr>
        <w:t xml:space="preserve"> The Company will comply with the Securities Act and the Exchange Act so as to permit the completion of the distribution of the Offered Securities as contemplated by this Agreement</w:t>
      </w:r>
      <w:r>
        <w:rPr>
          <w:rFonts w:ascii="Times New Roman" w:hAnsi="Times New Roman"/>
          <w:b/>
          <w:caps w:val="false"/>
          <w:smallCaps w:val="false"/>
          <w:sz w:val="20"/>
        </w:rPr>
        <w:t xml:space="preserve">, </w:t>
      </w:r>
      <w:r>
        <w:rPr>
          <w:rFonts w:ascii="Times New Roman" w:hAnsi="Times New Roman"/>
          <w:caps w:val="false"/>
          <w:smallCaps w:val="false"/>
          <w:sz w:val="20"/>
        </w:rPr>
        <w:t>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Securities as may be required under Rule 463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(m)</w:t>
      </w:r>
      <w:r>
        <w:rPr>
          <w:rFonts w:ascii="Times New Roman" w:hAnsi="Times New Roman"/>
          <w:caps w:val="false"/>
          <w:smallCaps w:val="false"/>
          <w:sz w:val="20"/>
        </w:rPr>
        <w:t>         </w:t>
      </w:r>
      <w:r>
        <w:rPr>
          <w:rFonts w:ascii="Times New Roman" w:hAnsi="Times New Roman"/>
          <w:b/>
          <w:i/>
          <w:caps w:val="false"/>
          <w:smallCaps w:val="false"/>
          <w:sz w:val="20"/>
        </w:rPr>
        <w:t>Listing</w:t>
      </w:r>
      <w:r>
        <w:rPr>
          <w:rFonts w:ascii="Times New Roman" w:hAnsi="Times New Roman"/>
          <w:b/>
          <w:caps w:val="false"/>
          <w:smallCaps w:val="false"/>
          <w:sz w:val="20"/>
        </w:rPr>
        <w:t>.</w:t>
      </w:r>
      <w:r>
        <w:rPr>
          <w:rFonts w:ascii="Times New Roman" w:hAnsi="Times New Roman"/>
          <w:caps w:val="false"/>
          <w:smallCaps w:val="false"/>
          <w:sz w:val="20"/>
        </w:rPr>
        <w:t xml:space="preserve"> The Company will use its best efforts to list, subject to notice of issuance, the Offered Shares and the Warrant Shares on the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(n)</w:t>
      </w:r>
      <w:r>
        <w:rPr>
          <w:rFonts w:ascii="Times New Roman" w:hAnsi="Times New Roman"/>
          <w:caps w:val="false"/>
          <w:smallCaps w:val="false"/>
          <w:sz w:val="20"/>
        </w:rPr>
        <w:t>         </w:t>
      </w:r>
      <w:r>
        <w:rPr>
          <w:rFonts w:ascii="Times New Roman" w:hAnsi="Times New Roman"/>
          <w:b/>
          <w:i/>
          <w:caps w:val="false"/>
          <w:smallCaps w:val="false"/>
          <w:sz w:val="20"/>
        </w:rPr>
        <w:t>Company to Provide Copy of the Prospectus in Form That May be Downloaded from the Internet</w:t>
      </w:r>
      <w:r>
        <w:rPr>
          <w:rFonts w:ascii="Times New Roman" w:hAnsi="Times New Roman"/>
          <w:b/>
          <w:caps w:val="false"/>
          <w:smallCaps w:val="false"/>
          <w:sz w:val="20"/>
        </w:rPr>
        <w:t>.</w:t>
      </w:r>
      <w:r>
        <w:rPr>
          <w:rFonts w:ascii="Times New Roman" w:hAnsi="Times New Roman"/>
          <w:caps w:val="false"/>
          <w:smallCaps w:val="false"/>
          <w:sz w:val="20"/>
        </w:rPr>
        <w:t xml:space="preserve"> If requested by the Representatives, the Company shall cause to be prepared and delivered, at its expense, within one business day from the effective date of this Agreement, to the Representatives an “</w:t>
      </w:r>
      <w:r>
        <w:rPr>
          <w:rFonts w:ascii="Times New Roman" w:hAnsi="Times New Roman"/>
          <w:b/>
          <w:caps w:val="false"/>
          <w:smallCaps w:val="false"/>
          <w:sz w:val="20"/>
        </w:rPr>
        <w:t>electronic Prospectus</w:t>
      </w:r>
      <w:r>
        <w:rPr>
          <w:rFonts w:ascii="Times New Roman" w:hAnsi="Times New Roman"/>
          <w:caps w:val="false"/>
          <w:smallCaps w:val="false"/>
          <w:sz w:val="20"/>
        </w:rPr>
        <w:t>” to be used by the Underwriters in connection with the offering and sale of the Offered Securities. As used herein, the term “</w:t>
      </w:r>
      <w:r>
        <w:rPr>
          <w:rFonts w:ascii="Times New Roman" w:hAnsi="Times New Roman"/>
          <w:b/>
          <w:caps w:val="false"/>
          <w:smallCaps w:val="false"/>
          <w:sz w:val="20"/>
        </w:rPr>
        <w:t>electronic Prospectus</w:t>
      </w:r>
      <w:r>
        <w:rPr>
          <w:rFonts w:ascii="Times New Roman" w:hAnsi="Times New Roman"/>
          <w:caps w:val="false"/>
          <w:smallCaps w:val="false"/>
          <w:sz w:val="20"/>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Jefferies,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(o)</w:t>
      </w:r>
      <w:r>
        <w:rPr>
          <w:rFonts w:ascii="Times New Roman" w:hAnsi="Times New Roman"/>
          <w:caps w:val="false"/>
          <w:smallCaps w:val="false"/>
          <w:sz w:val="20"/>
        </w:rPr>
        <w:t xml:space="preserve">          </w:t>
      </w:r>
      <w:r>
        <w:rPr>
          <w:rFonts w:ascii="Times New Roman" w:hAnsi="Times New Roman"/>
          <w:b/>
          <w:i/>
          <w:caps w:val="false"/>
          <w:smallCaps w:val="false"/>
          <w:sz w:val="20"/>
        </w:rPr>
        <w:t>Agreement Not to Offer or Sell Additional Securities of the Company</w:t>
      </w:r>
      <w:r>
        <w:rPr>
          <w:rFonts w:ascii="Times New Roman" w:hAnsi="Times New Roman"/>
          <w:b/>
          <w:caps w:val="false"/>
          <w:smallCaps w:val="false"/>
          <w:sz w:val="20"/>
        </w:rPr>
        <w:t>.</w:t>
      </w:r>
      <w:r>
        <w:rPr>
          <w:rFonts w:ascii="Times New Roman" w:hAnsi="Times New Roman"/>
          <w:caps w:val="false"/>
          <w:smallCaps w:val="false"/>
          <w:sz w:val="20"/>
        </w:rPr>
        <w:t xml:space="preserve"> During the period commencing on and including the date hereof and continuing through and including the 90th calendar day following the date of the Prospectus (such period, as extended as described below, being referred to herein as the “</w:t>
      </w:r>
      <w:r>
        <w:rPr>
          <w:rFonts w:ascii="Times New Roman" w:hAnsi="Times New Roman"/>
          <w:b/>
          <w:caps w:val="false"/>
          <w:smallCaps w:val="false"/>
          <w:sz w:val="20"/>
        </w:rPr>
        <w:t>Lock-up Period</w:t>
      </w:r>
      <w:r>
        <w:rPr>
          <w:rFonts w:ascii="Times New Roman" w:hAnsi="Times New Roman"/>
          <w:caps w:val="false"/>
          <w:smallCaps w:val="false"/>
          <w:sz w:val="20"/>
        </w:rPr>
        <w:t>”), the Company will not, without the prior written consent of Jefferies and Stifel, Nicolaus &amp; Company, Incorporated (which consent may be withheld in their sole discretion), directly or indirectly: (i) sell, offer to sell, contract to sell or lend any shares of Common Stock or any Related Securities (as defined below); (ii) effect any short sale, or establish or increase any “put equivalent position” (as defined in Rule 16a-1(h) under the Exchange Act) or liquidate or decrease any “call equivalent position” (as defined in Rule 16a</w:t>
        <w:noBreakHyphen/>
        <w:t xml:space="preserve">1(b) under the Exchange Act) of any shares of Common Stock or any Related Securities; (iii) pledge, hypothecate or grant any security interest in any shares of Common Stock or any Related Securities; (iv) in any other way transfer or dispose of any shares of Common Stock or any Related Securities; (v) enter into any swap, hedge or similar arrangement or agreement that transfers, in whole or in part, the economic risk of ownership of any shares of Common Stock or any Related Securities, regardless of whether any such transaction is to be settled in securities, in cash or otherwise; (vi) announce the offering of any shares of Common Stock or any Related Securities; (vii) submit or file any registration statement under the Securities Act in respect of any shares of Common Stock or Related Securities (other than as contemplated by this Agreement with respect to the Offered Securities or except for registration statements on Form S-8 with respect to any and all shares of Common Stock or Related Securities to be issued pursuant to any employee benefit plans); (viii) effect a reverse stock split, recapitalization, share consolidation, reclassification or similar transaction affecting the outstanding shares of Common Stock; or (ix) publicly announce the intention to do any of the foregoing;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the Company may (A) effect the transactions contemplated hereby; (B) issue shares of Common Stock, options or warrants or other equity awards to acquire shares of Common Stock, pursuant to any stock option, stock bonus or other stock plan or arrangement described in the Registration Statement, the Time of Sale Prospectus and the Prospectus as such plans may be amended; (C) issue shares of Common Stock upon exercise of any such options, warrants or other equity awards to acquire shares of Common Stock; (D) issue shares of Common Stock upon exercise of options, warrants or other equity awards to acquire shares of Common Stock described as outstanding in the Registration Statement, the Time of Sale Prospectus and Prospectus; and (E) issue shares of Common Stock pursuant to the Company’s “at-the-market” offering program referred to in the Time of Sale Prospectus and the Prospectus, </w:t>
      </w:r>
      <w:r>
        <w:rPr>
          <w:rFonts w:ascii="Times New Roman" w:hAnsi="Times New Roman"/>
          <w:i/>
          <w:caps w:val="false"/>
          <w:smallCaps w:val="false"/>
          <w:sz w:val="20"/>
        </w:rPr>
        <w:t>provided</w:t>
      </w:r>
      <w:r>
        <w:rPr>
          <w:rFonts w:ascii="Times New Roman" w:hAnsi="Times New Roman"/>
          <w:caps w:val="false"/>
          <w:smallCaps w:val="false"/>
          <w:sz w:val="20"/>
        </w:rPr>
        <w:t xml:space="preserve"> that no shares may be issued under the “at-the-market” program for the first 30 calendar days after the date of this Agreement. For purposes of the foregoing, “</w:t>
      </w:r>
      <w:r>
        <w:rPr>
          <w:rFonts w:ascii="Times New Roman" w:hAnsi="Times New Roman"/>
          <w:b/>
          <w:caps w:val="false"/>
          <w:smallCaps w:val="false"/>
          <w:sz w:val="20"/>
        </w:rPr>
        <w:t>Related Securities</w:t>
      </w:r>
      <w:r>
        <w:rPr>
          <w:rFonts w:ascii="Times New Roman" w:hAnsi="Times New Roman"/>
          <w:caps w:val="false"/>
          <w:smallCaps w:val="false"/>
          <w:sz w:val="20"/>
        </w:rPr>
        <w:t>” shall mean any options or warrants or other rights to acquire shares of Common Stock or any securities exchangeable or exercisable for or convertible into shares of Common Stock, or to acquire other securities or rights ultimately exchangeable or exercisable for, or convertible into,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(p)</w:t>
      </w:r>
      <w:r>
        <w:rPr>
          <w:rFonts w:ascii="Times New Roman" w:hAnsi="Times New Roman"/>
          <w:caps w:val="false"/>
          <w:smallCaps w:val="false"/>
          <w:sz w:val="20"/>
        </w:rPr>
        <w:t>         </w:t>
      </w:r>
      <w:r>
        <w:rPr>
          <w:rFonts w:ascii="Times New Roman" w:hAnsi="Times New Roman"/>
          <w:b/>
          <w:i/>
          <w:caps w:val="false"/>
          <w:smallCaps w:val="false"/>
          <w:sz w:val="20"/>
        </w:rPr>
        <w:t>Future Reports to the Representatives.</w:t>
      </w:r>
      <w:r>
        <w:rPr>
          <w:rFonts w:ascii="Times New Roman" w:hAnsi="Times New Roman"/>
          <w:caps w:val="false"/>
          <w:smallCaps w:val="false"/>
          <w:sz w:val="20"/>
        </w:rPr>
        <w:t xml:space="preserve"> During the period of three years hereafter, the Company will furnish to the Representatives, c/o Jefferies LLC, at 520 Madison Avenue, New York, New York 10022, Attention: Global Head of Syndicate, c/o Stifel, Nicolaus &amp; Company, Incorporated, One South Street, 15th Floor, Baltimore, Maryland 21202, Fax No. (443) 224-1273, Attention: Syndicate Department, or William Blair &amp; Company, L.L.C., 150 North Riverside Plaza, Chicago, Illinois 60606, fax: (312) 551-4646, Attention: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and (iii) as soon as available, copies of any report or communication of the Company furnished or made available generally to holders of its capital stock;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the requirements of this Section 3(p) shall be satisfied to the extent that such reports, statement, communications, financial statements or other documents are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(q)</w:t>
      </w:r>
      <w:r>
        <w:rPr>
          <w:rFonts w:ascii="Times New Roman" w:hAnsi="Times New Roman"/>
          <w:caps w:val="false"/>
          <w:smallCaps w:val="false"/>
          <w:sz w:val="20"/>
        </w:rPr>
        <w:t xml:space="preserve">          </w:t>
      </w:r>
      <w:r>
        <w:rPr>
          <w:rFonts w:ascii="Times New Roman" w:hAnsi="Times New Roman"/>
          <w:b/>
          <w:i/>
          <w:caps w:val="false"/>
          <w:smallCaps w:val="false"/>
          <w:sz w:val="20"/>
        </w:rPr>
        <w:t>Investment Limitation</w:t>
      </w:r>
      <w:r>
        <w:rPr>
          <w:rFonts w:ascii="Times New Roman" w:hAnsi="Times New Roman"/>
          <w:b/>
          <w:caps w:val="false"/>
          <w:smallCaps w:val="false"/>
          <w:sz w:val="20"/>
        </w:rPr>
        <w:t>.</w:t>
      </w:r>
      <w:r>
        <w:rPr>
          <w:rFonts w:ascii="Times New Roman" w:hAnsi="Times New Roman"/>
          <w:caps w:val="false"/>
          <w:smallCaps w:val="false"/>
          <w:sz w:val="20"/>
        </w:rPr>
        <w:t xml:space="preserve"> The Company shall not invest or otherwise use the proceeds received by the Company from its sale of the Offered Securities in such a manner as would require the Company or any of its subsidiaries to register as an investment company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(r)</w:t>
      </w:r>
      <w:r>
        <w:rPr>
          <w:rFonts w:ascii="Times New Roman" w:hAnsi="Times New Roman"/>
          <w:caps w:val="false"/>
          <w:smallCaps w:val="false"/>
          <w:sz w:val="20"/>
        </w:rPr>
        <w:t xml:space="preserve">          </w:t>
      </w:r>
      <w:r>
        <w:rPr>
          <w:rFonts w:ascii="Times New Roman" w:hAnsi="Times New Roman"/>
          <w:b/>
          <w:i/>
          <w:caps w:val="false"/>
          <w:smallCaps w:val="false"/>
          <w:sz w:val="20"/>
        </w:rPr>
        <w:t>No Stabilization or Manipulation; Compliance with Regulation M</w:t>
      </w:r>
      <w:r>
        <w:rPr>
          <w:rFonts w:ascii="Times New Roman" w:hAnsi="Times New Roman"/>
          <w:b/>
          <w:caps w:val="false"/>
          <w:smallCaps w:val="false"/>
          <w:sz w:val="20"/>
        </w:rPr>
        <w:t>.</w:t>
      </w:r>
      <w:r>
        <w:rPr>
          <w:rFonts w:ascii="Times New Roman" w:hAnsi="Times New Roman"/>
          <w:caps w:val="false"/>
          <w:smallCaps w:val="false"/>
          <w:sz w:val="20"/>
        </w:rPr>
        <w:t xml:space="preserve"> The Company will not take, and will ensure that no affiliate of the Company will take, directly or indirectly, any action designed to or that might reasonably be expected to cause or result in stabilization or manipulation of the price of the shares of Common Stock or any reference security with respect to the shares of Common Stock, whether to facilitate the sale or resale of the Offered Securities, and the Company will, and shall cause each of its affiliates to, comply with all applicable provisions of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(s)</w:t>
      </w:r>
      <w:r>
        <w:rPr>
          <w:rFonts w:ascii="Times New Roman" w:hAnsi="Times New Roman"/>
          <w:caps w:val="false"/>
          <w:smallCaps w:val="false"/>
          <w:sz w:val="20"/>
        </w:rPr>
        <w:t xml:space="preserve">          </w:t>
      </w:r>
      <w:r>
        <w:rPr>
          <w:rFonts w:ascii="Times New Roman" w:hAnsi="Times New Roman"/>
          <w:b/>
          <w:i/>
          <w:caps w:val="false"/>
          <w:smallCaps w:val="false"/>
          <w:sz w:val="20"/>
        </w:rPr>
        <w:t>Enforce Lock-Up Agreements</w:t>
      </w:r>
      <w:r>
        <w:rPr>
          <w:rFonts w:ascii="Times New Roman" w:hAnsi="Times New Roman"/>
          <w:b/>
          <w:caps w:val="false"/>
          <w:smallCaps w:val="false"/>
          <w:sz w:val="20"/>
        </w:rPr>
        <w:t>.</w:t>
      </w:r>
      <w:r>
        <w:rPr>
          <w:rFonts w:ascii="Times New Roman" w:hAnsi="Times New Roman"/>
          <w:caps w:val="false"/>
          <w:smallCaps w:val="false"/>
          <w:sz w:val="20"/>
        </w:rPr>
        <w:t xml:space="preserve"> During the Lock-up Period, the Company will enforce all agreements between the Company and any of its securityholders that restrict or prohibit, expressly or in operation, the offer, sale or transfer of shares of Common Stock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pursuant to ‎Section 6(k)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(t)</w:t>
      </w:r>
      <w:r>
        <w:rPr>
          <w:rFonts w:ascii="Times New Roman" w:hAnsi="Times New Roman"/>
          <w:caps w:val="false"/>
          <w:smallCaps w:val="false"/>
          <w:sz w:val="20"/>
        </w:rPr>
        <w:t xml:space="preserve">          </w:t>
      </w:r>
      <w:r>
        <w:rPr>
          <w:rFonts w:ascii="Times New Roman" w:hAnsi="Times New Roman"/>
          <w:b/>
          <w:i/>
          <w:caps w:val="false"/>
          <w:smallCaps w:val="false"/>
          <w:sz w:val="20"/>
        </w:rPr>
        <w:t>Company to Provide Interim Financial Statements</w:t>
      </w:r>
      <w:r>
        <w:rPr>
          <w:rFonts w:ascii="Times New Roman" w:hAnsi="Times New Roman"/>
          <w:b/>
          <w:caps w:val="false"/>
          <w:smallCaps w:val="false"/>
          <w:sz w:val="20"/>
        </w:rPr>
        <w:t>.</w:t>
      </w:r>
      <w:r>
        <w:rPr>
          <w:rFonts w:ascii="Times New Roman" w:hAnsi="Times New Roman"/>
          <w:caps w:val="false"/>
          <w:smallCaps w:val="false"/>
          <w:sz w:val="20"/>
        </w:rPr>
        <w:t xml:space="preserve"> Prior to the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(u)</w:t>
      </w:r>
      <w:r>
        <w:rPr>
          <w:rFonts w:ascii="Times New Roman" w:hAnsi="Times New Roman"/>
          <w:caps w:val="false"/>
          <w:smallCaps w:val="false"/>
          <w:sz w:val="20"/>
        </w:rPr>
        <w:t>         </w:t>
      </w:r>
      <w:r>
        <w:rPr>
          <w:rFonts w:ascii="Times New Roman" w:hAnsi="Times New Roman"/>
          <w:b/>
          <w:i/>
          <w:caps w:val="false"/>
          <w:smallCaps w:val="false"/>
          <w:sz w:val="20"/>
        </w:rPr>
        <w:t>Warrant</w:t>
      </w:r>
      <w:r>
        <w:rPr>
          <w:rFonts w:ascii="Times New Roman" w:hAnsi="Times New Roman"/>
          <w:caps w:val="false"/>
          <w:smallCaps w:val="false"/>
          <w:sz w:val="20"/>
        </w:rPr>
        <w:t xml:space="preserve"> </w:t>
      </w:r>
      <w:r>
        <w:rPr>
          <w:rFonts w:ascii="Times New Roman" w:hAnsi="Times New Roman"/>
          <w:b/>
          <w:i/>
          <w:caps w:val="false"/>
          <w:smallCaps w:val="false"/>
          <w:sz w:val="20"/>
        </w:rPr>
        <w:t>Shares</w:t>
      </w:r>
      <w:r>
        <w:rPr>
          <w:rFonts w:ascii="Times New Roman" w:hAnsi="Times New Roman"/>
          <w:caps w:val="false"/>
          <w:smallCaps w:val="false"/>
          <w:sz w:val="20"/>
        </w:rPr>
        <w:t xml:space="preserve"> </w:t>
      </w:r>
      <w:r>
        <w:rPr>
          <w:rFonts w:ascii="Times New Roman" w:hAnsi="Times New Roman"/>
          <w:b/>
          <w:i/>
          <w:caps w:val="false"/>
          <w:smallCaps w:val="false"/>
          <w:sz w:val="20"/>
        </w:rPr>
        <w:t>Reserved</w:t>
      </w:r>
      <w:r>
        <w:rPr>
          <w:rFonts w:ascii="Times New Roman" w:hAnsi="Times New Roman"/>
          <w:caps w:val="false"/>
          <w:smallCaps w:val="false"/>
          <w:sz w:val="20"/>
        </w:rPr>
        <w:t>. The Company shall, at all times while any Pre-Funded Warrants and Common Warrants are outstanding, reserve and keep available out of the aggregate of its authorized but unissued and otherwise unreserved Common Stock, solely for the purpose of enabling it to issue Warrant Shares upon exercise of such Pre-Funded Warrants and Common Warrants, the number of Warrant Shares that are initially issuable and deliverable upon the exercise of the then-outstanding Pre-Funded Warrants and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t>    </w:t>
      </w:r>
      <w:r>
        <w:rPr>
          <w:rFonts w:ascii="Times New Roman" w:hAnsi="Times New Roman"/>
          <w:b/>
          <w:caps w:val="false"/>
          <w:smallCaps w:val="false"/>
          <w:sz w:val="20"/>
        </w:rPr>
        <w:t>Payment of Expenses.</w:t>
      </w:r>
      <w:r>
        <w:rPr>
          <w:rFonts w:ascii="Times New Roman" w:hAnsi="Times New Roman"/>
          <w:caps w:val="false"/>
          <w:smallCaps w:val="false"/>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Shares and Warrant Shares, (iii) all necessary issue, transfer and other stamp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legal fees of, and disbursements by, counsel to the Underwriters (such fees of and disbursements by counsel to the Underwriters pursuant to clauses (vi) and (vii) not to exceed $15,000 in the aggregate)</w:t>
      </w:r>
      <w:r>
        <w:rPr>
          <w:rFonts w:ascii="Times New Roman" w:hAnsi="Times New Roman"/>
          <w:b/>
          <w:caps w:val="false"/>
          <w:smallCaps w:val="false"/>
          <w:sz w:val="20"/>
        </w:rPr>
        <w:t>,</w:t>
      </w:r>
      <w:r>
        <w:rPr>
          <w:rFonts w:ascii="Times New Roman" w:hAnsi="Times New Roman"/>
          <w:caps w:val="false"/>
          <w:smallCaps w:val="false"/>
          <w:sz w:val="20"/>
        </w:rPr>
        <w:t xml:space="preserve"> (viii) the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one-half the cost of any aircraft chartered in connection with the road show, (ix) the fees and expenses associated with listing the Offered Shares and Warrant Shares on the Nasdaq, and (x)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t>    </w:t>
      </w:r>
      <w:r>
        <w:rPr>
          <w:rFonts w:ascii="Times New Roman" w:hAnsi="Times New Roman"/>
          <w:b/>
          <w:caps w:val="false"/>
          <w:smallCaps w:val="false"/>
          <w:sz w:val="20"/>
        </w:rPr>
        <w:t>Covenant of the Underwriters.</w:t>
      </w:r>
      <w:r>
        <w:rPr>
          <w:rFonts w:ascii="Times New Roman" w:hAnsi="Times New Roman"/>
          <w:caps w:val="false"/>
          <w:smallCaps w:val="false"/>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6.</w:t>
      </w:r>
      <w:r>
        <w:rPr>
          <w:rFonts w:ascii="Times New Roman" w:hAnsi="Times New Roman"/>
          <w:caps w:val="false"/>
          <w:smallCaps w:val="false"/>
          <w:sz w:val="20"/>
        </w:rPr>
        <w:t>    </w:t>
      </w:r>
      <w:r>
        <w:rPr>
          <w:rFonts w:ascii="Times New Roman" w:hAnsi="Times New Roman"/>
          <w:b/>
          <w:caps w:val="false"/>
          <w:smallCaps w:val="false"/>
          <w:sz w:val="20"/>
        </w:rPr>
        <w:t>Conditions of the Obligations of the Underwriters.</w:t>
      </w:r>
      <w:r>
        <w:rPr>
          <w:rFonts w:ascii="Times New Roman" w:hAnsi="Times New Roman"/>
          <w:caps w:val="false"/>
          <w:smallCaps w:val="false"/>
          <w:sz w:val="20"/>
        </w:rPr>
        <w:t xml:space="preserve"> The respective obligations of the several Underwriters hereunder to purchase and pay for the Offered Securities as provided herein on the Closing Date shall be subject to (x) the accuracy of the representations and warranties on the part of the Company set forth in ‎Section 1 hereof as of the date hereof and as of the Closing Date, as though then made (except in each case for representations and warranties made as of a specified date, which shall be accurate (in all material respects or in all respects, as applicable) only as of the specified date), and (y) to the timely performance, in all material respects, by the Company of its covenants and other obligations hereunder, and to each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i/>
          <w:caps w:val="false"/>
          <w:smallCaps w:val="false"/>
          <w:sz w:val="20"/>
        </w:rPr>
        <w:t>Comfort Letter</w:t>
      </w:r>
      <w:r>
        <w:rPr>
          <w:rFonts w:ascii="Times New Roman" w:hAnsi="Times New Roman"/>
          <w:b/>
          <w:caps w:val="false"/>
          <w:smallCaps w:val="false"/>
          <w:sz w:val="20"/>
        </w:rPr>
        <w:t>.</w:t>
      </w:r>
      <w:r>
        <w:rPr>
          <w:rFonts w:ascii="Times New Roman" w:hAnsi="Times New Roman"/>
          <w:caps w:val="false"/>
          <w:smallCaps w:val="false"/>
          <w:sz w:val="20"/>
        </w:rPr>
        <w:t xml:space="preserve"> On the date hereof, the Representatives shall have received from WithumSmith+Brown, PC,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Compliance with Registration Requirements; No Stop Order; No Objection from FINRA. </w:t>
      </w:r>
      <w:r>
        <w:rPr>
          <w:rFonts w:ascii="Times New Roman" w:hAnsi="Times New Roman"/>
          <w:caps w:val="false"/>
          <w:smallCaps w:val="false"/>
          <w:sz w:val="20"/>
        </w:rPr>
        <w:t>For the period from and after the date of this Agreement and through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The Company shall have filed the Prospectus with the Commission (including the information previously omitted from the Registration Statement pursuant to Rule 430B under the Securities Act) in the manner and within the time period required by Rule 424(b)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No stop order suspending the effectiveness of the Registration Statement or any post-effective amendment to the Registration Statement shall be in effect, and no proceedings for such purpose shall have been instituted or, to the Company’s knowledge,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(iii)    If a filing has been made with FINRA, FINRA shall have raised no objection to the fairness and reasonableness of the underwriting terms and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xml:space="preserve">          </w:t>
      </w:r>
      <w:r>
        <w:rPr>
          <w:rFonts w:ascii="Times New Roman" w:hAnsi="Times New Roman"/>
          <w:b/>
          <w:i/>
          <w:caps w:val="false"/>
          <w:smallCaps w:val="false"/>
          <w:sz w:val="20"/>
        </w:rPr>
        <w:t>No Material Adverse Change or Ratings Agency Change</w:t>
      </w:r>
      <w:r>
        <w:rPr>
          <w:rFonts w:ascii="Times New Roman" w:hAnsi="Times New Roman"/>
          <w:b/>
          <w:caps w:val="false"/>
          <w:smallCaps w:val="false"/>
          <w:sz w:val="20"/>
        </w:rPr>
        <w:t>.</w:t>
      </w:r>
      <w:r>
        <w:rPr>
          <w:rFonts w:ascii="Times New Roman" w:hAnsi="Times New Roman"/>
          <w:caps w:val="false"/>
          <w:smallCaps w:val="false"/>
          <w:sz w:val="20"/>
        </w:rPr>
        <w:t xml:space="preserve"> For the period from and after the date of this Agreement and through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in the judgment of the Representatives there shall not have occurred any Material Adverse Change;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i/>
          <w:caps w:val="false"/>
          <w:smallCaps w:val="false"/>
          <w:sz w:val="20"/>
        </w:rPr>
        <w:t>Opinion of Latham &amp; Watkins</w:t>
      </w:r>
      <w:r>
        <w:rPr>
          <w:rFonts w:ascii="Times New Roman" w:hAnsi="Times New Roman"/>
          <w:b/>
          <w:caps w:val="false"/>
          <w:smallCaps w:val="false"/>
          <w:sz w:val="20"/>
        </w:rPr>
        <w:t>.</w:t>
      </w:r>
      <w:r>
        <w:rPr>
          <w:rFonts w:ascii="Times New Roman" w:hAnsi="Times New Roman"/>
          <w:caps w:val="false"/>
          <w:smallCaps w:val="false"/>
          <w:sz w:val="20"/>
        </w:rPr>
        <w:t xml:space="preserve"> On the Closing Date, the Representatives shall have received the opinion and negative assurance letter of Latham &amp; Watkins LLP, counsel for the Company, counsel for the Company with respect to intellectual property matters, each dated as of such date,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w:t>
      </w:r>
      <w:r>
        <w:rPr>
          <w:rFonts w:ascii="Times New Roman" w:hAnsi="Times New Roman"/>
          <w:b/>
          <w:i/>
          <w:caps w:val="false"/>
          <w:smallCaps w:val="false"/>
          <w:sz w:val="20"/>
        </w:rPr>
        <w:t>Opinion of General Counsel of the Company</w:t>
      </w:r>
      <w:r>
        <w:rPr>
          <w:rFonts w:ascii="Times New Roman" w:hAnsi="Times New Roman"/>
          <w:b/>
          <w:caps w:val="false"/>
          <w:smallCaps w:val="false"/>
          <w:sz w:val="20"/>
        </w:rPr>
        <w:t>.</w:t>
      </w:r>
      <w:r>
        <w:rPr>
          <w:rFonts w:ascii="Times New Roman" w:hAnsi="Times New Roman"/>
          <w:caps w:val="false"/>
          <w:smallCaps w:val="false"/>
          <w:sz w:val="20"/>
        </w:rPr>
        <w:t xml:space="preserve"> On the Closing, the Representatives shall have received the opinion of the General Counsel of the Company with respect to intellectual property matters, each dated as of such date,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w:t>
      </w:r>
      <w:r>
        <w:rPr>
          <w:rFonts w:ascii="Times New Roman" w:hAnsi="Times New Roman"/>
          <w:b/>
          <w:i/>
          <w:caps w:val="false"/>
          <w:smallCaps w:val="false"/>
          <w:sz w:val="20"/>
        </w:rPr>
        <w:t>Opinion of Woodburn and Wedge.</w:t>
      </w:r>
      <w:r>
        <w:rPr>
          <w:rFonts w:ascii="Times New Roman" w:hAnsi="Times New Roman"/>
          <w:caps w:val="false"/>
          <w:smallCaps w:val="false"/>
          <w:sz w:val="20"/>
        </w:rPr>
        <w:t xml:space="preserve"> On the Closing Date, the Representatives shall have received an opinion of Woodburn and Wedge, counsel for the Company with respect to the due authorization and valid issuance of the Offered Securities, dated as of such date,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(h)</w:t>
      </w:r>
      <w:r>
        <w:rPr>
          <w:rFonts w:ascii="Times New Roman" w:hAnsi="Times New Roman"/>
          <w:caps w:val="false"/>
          <w:smallCaps w:val="false"/>
          <w:sz w:val="20"/>
        </w:rPr>
        <w:t>         </w:t>
      </w:r>
      <w:r>
        <w:rPr>
          <w:rFonts w:ascii="Times New Roman" w:hAnsi="Times New Roman"/>
          <w:b/>
          <w:i/>
          <w:caps w:val="false"/>
          <w:smallCaps w:val="false"/>
          <w:sz w:val="20"/>
        </w:rPr>
        <w:t>Opinion of Counsel for the Underwriters</w:t>
      </w:r>
      <w:r>
        <w:rPr>
          <w:rFonts w:ascii="Times New Roman" w:hAnsi="Times New Roman"/>
          <w:b/>
          <w:caps w:val="false"/>
          <w:smallCaps w:val="false"/>
          <w:sz w:val="20"/>
        </w:rPr>
        <w:t>.</w:t>
      </w:r>
      <w:r>
        <w:rPr>
          <w:rFonts w:ascii="Times New Roman" w:hAnsi="Times New Roman"/>
          <w:caps w:val="false"/>
          <w:smallCaps w:val="false"/>
          <w:sz w:val="20"/>
        </w:rPr>
        <w:t xml:space="preserve"> On the Closing Date, the Representatives shall have received the opinion and negative assurance letter of Cooley LLP, counsel for the Underwriters in connection with the offer and sale of the Offered Securities, dated as of such date, in form and substance satisfactory to the Underwriters.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xml:space="preserve">          </w:t>
      </w:r>
      <w:r>
        <w:rPr>
          <w:rFonts w:ascii="Times New Roman" w:hAnsi="Times New Roman"/>
          <w:b/>
          <w:i/>
          <w:caps w:val="false"/>
          <w:smallCaps w:val="false"/>
          <w:sz w:val="20"/>
        </w:rPr>
        <w:t>Officers</w:t>
      </w:r>
      <w:r>
        <w:rPr>
          <w:rFonts w:ascii="Times New Roman" w:hAnsi="Times New Roman"/>
          <w:caps w:val="false"/>
          <w:smallCaps w:val="false"/>
          <w:sz w:val="20"/>
        </w:rPr>
        <w:t xml:space="preserve">’ </w:t>
      </w:r>
      <w:r>
        <w:rPr>
          <w:rFonts w:ascii="Times New Roman" w:hAnsi="Times New Roman"/>
          <w:b/>
          <w:i/>
          <w:caps w:val="false"/>
          <w:smallCaps w:val="false"/>
          <w:sz w:val="20"/>
        </w:rPr>
        <w:t>Certificate</w:t>
      </w:r>
      <w:r>
        <w:rPr>
          <w:rFonts w:ascii="Times New Roman" w:hAnsi="Times New Roman"/>
          <w:b/>
          <w:caps w:val="false"/>
          <w:smallCaps w:val="false"/>
          <w:sz w:val="20"/>
        </w:rPr>
        <w:t>.</w:t>
      </w:r>
      <w:r>
        <w:rPr>
          <w:rFonts w:ascii="Times New Roman" w:hAnsi="Times New Roman"/>
          <w:caps w:val="false"/>
          <w:smallCaps w:val="false"/>
          <w:sz w:val="20"/>
        </w:rPr>
        <w:t xml:space="preserve"> On the Closing Date, the Representatives shall have received a certificate executed by the Chief Executive Officer of the Company and the Chief Financial Officer of the Company, dated as of such date, to the effect set forth in ‎Section 6(b)(ii) and further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for the period from and including the date of this Agreement through and including such date, there has not occurred any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the representations, warranties and covenants of the Company set forth in Section 1 of this Agreement are true and correct with the same force and effect as though expressly made on and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(iii)    the Company has complied with all the agreements hereunder and satisfied all the conditions on its part to be performed or satisfied hereunder at or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(j)</w:t>
      </w:r>
      <w:r>
        <w:rPr>
          <w:rFonts w:ascii="Times New Roman" w:hAnsi="Times New Roman"/>
          <w:caps w:val="false"/>
          <w:smallCaps w:val="false"/>
          <w:sz w:val="20"/>
        </w:rPr>
        <w:t xml:space="preserve">          </w:t>
      </w:r>
      <w:r>
        <w:rPr>
          <w:rFonts w:ascii="Times New Roman" w:hAnsi="Times New Roman"/>
          <w:b/>
          <w:i/>
          <w:caps w:val="false"/>
          <w:smallCaps w:val="false"/>
          <w:sz w:val="20"/>
        </w:rPr>
        <w:t>Bring-down Comfort Letter</w:t>
      </w:r>
      <w:r>
        <w:rPr>
          <w:rFonts w:ascii="Times New Roman" w:hAnsi="Times New Roman"/>
          <w:b/>
          <w:caps w:val="false"/>
          <w:smallCaps w:val="false"/>
          <w:sz w:val="20"/>
        </w:rPr>
        <w:t>.</w:t>
      </w:r>
      <w:r>
        <w:rPr>
          <w:rFonts w:ascii="Times New Roman" w:hAnsi="Times New Roman"/>
          <w:caps w:val="false"/>
          <w:smallCaps w:val="false"/>
          <w:sz w:val="20"/>
        </w:rPr>
        <w:t xml:space="preserve"> On the Closing Date, the Representatives shall have received from WithumSmith+Brown, PC,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Closing Date; and (ii) cover certain financial information contained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(k)</w:t>
      </w:r>
      <w:r>
        <w:rPr>
          <w:rFonts w:ascii="Times New Roman" w:hAnsi="Times New Roman"/>
          <w:caps w:val="false"/>
          <w:smallCaps w:val="false"/>
          <w:sz w:val="20"/>
        </w:rPr>
        <w:t xml:space="preserve">          </w:t>
      </w:r>
      <w:r>
        <w:rPr>
          <w:rFonts w:ascii="Times New Roman" w:hAnsi="Times New Roman"/>
          <w:b/>
          <w:i/>
          <w:caps w:val="false"/>
          <w:smallCaps w:val="false"/>
          <w:sz w:val="20"/>
        </w:rPr>
        <w:t>Lock-Up Agreements.</w:t>
      </w:r>
      <w:r>
        <w:rPr>
          <w:rFonts w:ascii="Times New Roman" w:hAnsi="Times New Roman"/>
          <w:caps w:val="false"/>
          <w:smallCaps w:val="false"/>
          <w:sz w:val="20"/>
        </w:rPr>
        <w:t xml:space="preserve"> On or prior to the date hereof, the Company shall have furnished to the Representatives an agreement in the form of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 from each of the persons listed on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hereto, and each such agreement shall be in full force and effect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(l)</w:t>
      </w:r>
      <w:r>
        <w:rPr>
          <w:rFonts w:ascii="Times New Roman" w:hAnsi="Times New Roman"/>
          <w:caps w:val="false"/>
          <w:smallCaps w:val="false"/>
          <w:sz w:val="20"/>
        </w:rPr>
        <w:t>           </w:t>
      </w:r>
      <w:r>
        <w:rPr>
          <w:rFonts w:ascii="Times New Roman" w:hAnsi="Times New Roman"/>
          <w:b/>
          <w:i/>
          <w:caps w:val="false"/>
          <w:smallCaps w:val="false"/>
          <w:sz w:val="20"/>
        </w:rPr>
        <w:t>Rule</w:t>
      </w:r>
      <w:r>
        <w:rPr>
          <w:rFonts w:ascii="Times New Roman" w:hAnsi="Times New Roman"/>
          <w:caps w:val="false"/>
          <w:smallCaps w:val="false"/>
          <w:sz w:val="20"/>
        </w:rPr>
        <w:t> </w:t>
      </w:r>
      <w:r>
        <w:rPr>
          <w:rFonts w:ascii="Times New Roman" w:hAnsi="Times New Roman"/>
          <w:b/>
          <w:i/>
          <w:caps w:val="false"/>
          <w:smallCaps w:val="false"/>
          <w:sz w:val="20"/>
        </w:rPr>
        <w:t>462(b) Registration Statement</w:t>
      </w:r>
      <w:r>
        <w:rPr>
          <w:rFonts w:ascii="Times New Roman" w:hAnsi="Times New Roman"/>
          <w:caps w:val="false"/>
          <w:smallCaps w:val="false"/>
          <w:sz w:val="20"/>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(m)</w:t>
      </w:r>
      <w:r>
        <w:rPr>
          <w:rFonts w:ascii="Times New Roman" w:hAnsi="Times New Roman"/>
          <w:caps w:val="false"/>
          <w:smallCaps w:val="false"/>
          <w:sz w:val="20"/>
        </w:rPr>
        <w:t>         </w:t>
      </w:r>
      <w:r>
        <w:rPr>
          <w:rFonts w:ascii="Times New Roman" w:hAnsi="Times New Roman"/>
          <w:b/>
          <w:i/>
          <w:caps w:val="false"/>
          <w:smallCaps w:val="false"/>
          <w:sz w:val="20"/>
        </w:rPr>
        <w:t>Additional Documents</w:t>
      </w:r>
      <w:r>
        <w:rPr>
          <w:rFonts w:ascii="Times New Roman" w:hAnsi="Times New Roman"/>
          <w:caps w:val="false"/>
          <w:smallCaps w:val="false"/>
          <w:sz w:val="20"/>
        </w:rPr>
        <w:t>. On or before the Closing Date, the Representatives and counsel for the 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any condition specified in this ‎Section 6 is not satisfied when and as required to be satisfied, this Agreement may be terminated by the Representatives by notice from Jefferies to the Company at any time on or prior to the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7.</w:t>
      </w:r>
      <w:r>
        <w:rPr>
          <w:rFonts w:ascii="Times New Roman" w:hAnsi="Times New Roman"/>
          <w:caps w:val="false"/>
          <w:smallCaps w:val="false"/>
          <w:sz w:val="20"/>
        </w:rPr>
        <w:t>    </w:t>
      </w:r>
      <w:r>
        <w:rPr>
          <w:rFonts w:ascii="Times New Roman" w:hAnsi="Times New Roman"/>
          <w:b/>
          <w:caps w:val="false"/>
          <w:smallCaps w:val="false"/>
          <w:sz w:val="20"/>
        </w:rPr>
        <w:t>Reimbursement of Underwriters</w:t>
      </w:r>
      <w:r>
        <w:rPr>
          <w:rFonts w:ascii="Times New Roman" w:hAnsi="Times New Roman"/>
          <w:caps w:val="false"/>
          <w:smallCaps w:val="false"/>
          <w:sz w:val="20"/>
        </w:rPr>
        <w:t xml:space="preserve">’ </w:t>
      </w:r>
      <w:r>
        <w:rPr>
          <w:rFonts w:ascii="Times New Roman" w:hAnsi="Times New Roman"/>
          <w:b/>
          <w:caps w:val="false"/>
          <w:smallCaps w:val="false"/>
          <w:sz w:val="20"/>
        </w:rPr>
        <w:t>Expenses</w:t>
      </w:r>
      <w:r>
        <w:rPr>
          <w:rFonts w:ascii="Times New Roman" w:hAnsi="Times New Roman"/>
          <w:caps w:val="false"/>
          <w:smallCaps w:val="false"/>
          <w:sz w:val="20"/>
        </w:rPr>
        <w:t>. If this Agreement is terminated by the Representatives pursuant to ‎Section 6, ‎Section 11 or ‎Section 12, or if the sale to the Underwriters of the Offered Securities on the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and documented by the Representatives and the Underwriters in connection with the proposed purchase and the offering and sale of the Offered Securities, including, but not limited to, reasonable and documented fees and disbursements of counsel, printing expenses, travel expenses, postage, facsimile and telephone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t>    </w:t>
      </w:r>
      <w:r>
        <w:rPr>
          <w:rFonts w:ascii="Times New Roman" w:hAnsi="Times New Roman"/>
          <w:b/>
          <w:caps w:val="false"/>
          <w:smallCaps w:val="false"/>
          <w:sz w:val="20"/>
        </w:rPr>
        <w:t>Effectiveness of this Agreement</w:t>
      </w:r>
      <w:r>
        <w:rPr>
          <w:rFonts w:ascii="Times New Roman" w:hAnsi="Times New Roman"/>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w:t>
      </w:r>
      <w:r>
        <w:rPr>
          <w:rFonts w:ascii="Times New Roman" w:hAnsi="Times New Roman"/>
          <w:b/>
          <w:caps w:val="false"/>
          <w:smallCaps w:val="false"/>
          <w:sz w:val="20"/>
        </w:rPr>
        <w:t>Indemnification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xml:space="preserve">          </w:t>
      </w:r>
      <w:r>
        <w:rPr>
          <w:rFonts w:ascii="Times New Roman" w:hAnsi="Times New Roman"/>
          <w:b/>
          <w:i/>
          <w:caps w:val="false"/>
          <w:smallCaps w:val="false"/>
          <w:sz w:val="20"/>
        </w:rPr>
        <w:t>Indemnification of the Underwriters</w:t>
      </w:r>
      <w:r>
        <w:rPr>
          <w:rFonts w:ascii="Times New Roman" w:hAnsi="Times New Roman"/>
          <w:b/>
          <w:caps w:val="false"/>
          <w:smallCaps w:val="false"/>
          <w:sz w:val="20"/>
        </w:rPr>
        <w:t>.</w:t>
      </w:r>
      <w:r>
        <w:rPr>
          <w:rFonts w:ascii="Times New Roman" w:hAnsi="Times New Roman"/>
          <w:caps w:val="false"/>
          <w:smallCaps w:val="false"/>
          <w:sz w:val="20"/>
        </w:rPr>
        <w:t xml:space="preserve">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reasonable and documented expenses (including the reasonable and documented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hAnsi="Times New Roman"/>
          <w:i/>
          <w:caps w:val="false"/>
          <w:smallCaps w:val="false"/>
          <w:sz w:val="20"/>
        </w:rPr>
        <w:t>provided, however</w:t>
      </w:r>
      <w:r>
        <w:rPr>
          <w:rFonts w:ascii="Times New Roman" w:hAnsi="Times New Roman"/>
          <w:caps w:val="false"/>
          <w:smallCaps w:val="false"/>
          <w:sz w:val="20"/>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i/>
          <w:caps w:val="false"/>
          <w:smallCaps w:val="false"/>
          <w:sz w:val="20"/>
        </w:rPr>
        <w:t>Indemnification of the Company, its Directors and Officers</w:t>
      </w:r>
      <w:r>
        <w:rPr>
          <w:rFonts w:ascii="Times New Roman" w:hAnsi="Times New Roman"/>
          <w:caps w:val="false"/>
          <w:smallCaps w:val="false"/>
          <w:sz w:val="20"/>
        </w:rPr>
        <w:t>.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Marketing Material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reasonable and documented fees and disbursements of counsel) as such expenses are incurred by the Company, or any such director, officer, employee or controlling person in connection with investigating, defending, settling, compromising or paying any such loss, claim, damage, liability, expense or action. The Company hereby acknowledges that the only information that the Representatives has furnished to the Company expressly for use in the Registration Statement, any preliminary prospectus, the Time of Sale Prospectus, any free writing prospectus that the Company has filed, or is required to file, pursuant to Rule 433(d) of the Securities Act, any Marketing Material or the Prospectus (or any amendment or supplement to the foregoing) are the statements set forth in the first sentence of the third and fourth paragraphs under the caption “Underwriting,” the first three sentences of the first paragraph under the section entitled “Commission and Expenses,” and the first sentence of the first paragraph under the section entitled “Stabilization,” each under the caption “Underwriting” in the Prospectus Supplement. The indemnity agreement set forth in this ‎Section 9(b) shall be in addition to any liabilities that each Underwriter may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xml:space="preserve">          </w:t>
      </w:r>
      <w:r>
        <w:rPr>
          <w:rFonts w:ascii="Times New Roman" w:hAnsi="Times New Roman"/>
          <w:b/>
          <w:i/>
          <w:caps w:val="false"/>
          <w:smallCaps w:val="false"/>
          <w:sz w:val="20"/>
        </w:rPr>
        <w:t>Notifications and Other Indemnification Procedures</w:t>
      </w:r>
      <w:r>
        <w:rPr>
          <w:rFonts w:ascii="Times New Roman" w:hAnsi="Times New Roman"/>
          <w:b/>
          <w:caps w:val="false"/>
          <w:smallCaps w:val="false"/>
          <w:sz w:val="20"/>
        </w:rPr>
        <w:t>.</w:t>
      </w:r>
      <w:r>
        <w:rPr>
          <w:rFonts w:ascii="Times New Roman" w:hAnsi="Times New Roman"/>
          <w:caps w:val="false"/>
          <w:smallCaps w:val="false"/>
          <w:sz w:val="20"/>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hAnsi="Times New Roman"/>
          <w:i/>
          <w:caps w:val="false"/>
          <w:smallCaps w:val="false"/>
          <w:sz w:val="20"/>
        </w:rPr>
        <w:t>provided, however</w:t>
      </w:r>
      <w:r>
        <w:rPr>
          <w:rFonts w:ascii="Times New Roman" w:hAnsi="Times New Roman"/>
          <w:caps w:val="false"/>
          <w:smallCaps w:val="false"/>
          <w:sz w:val="20"/>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Settlements</w:t>
      </w:r>
      <w:r>
        <w:rPr>
          <w:rFonts w:ascii="Times New Roman" w:hAnsi="Times New Roman"/>
          <w:b/>
          <w:caps w:val="false"/>
          <w:smallCaps w:val="false"/>
          <w:sz w:val="20"/>
        </w:rPr>
        <w:t>.</w:t>
      </w:r>
      <w:r>
        <w:rPr>
          <w:rFonts w:ascii="Times New Roman" w:hAnsi="Times New Roman"/>
          <w:caps w:val="false"/>
          <w:smallCaps w:val="false"/>
          <w:sz w:val="20"/>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10.</w:t>
      </w:r>
      <w:r>
        <w:rPr>
          <w:rFonts w:ascii="Times New Roman" w:hAnsi="Times New Roman"/>
          <w:caps w:val="false"/>
          <w:smallCaps w:val="false"/>
          <w:sz w:val="20"/>
        </w:rPr>
        <w:t>    </w:t>
      </w:r>
      <w:r>
        <w:rPr>
          <w:rFonts w:ascii="Times New Roman" w:hAnsi="Times New Roman"/>
          <w:b/>
          <w:caps w:val="false"/>
          <w:smallCaps w:val="false"/>
          <w:sz w:val="20"/>
        </w:rPr>
        <w:t>Contribution</w:t>
      </w:r>
      <w:r>
        <w:rPr>
          <w:rFonts w:ascii="Times New Roman" w:hAnsi="Times New Roman"/>
          <w:caps w:val="false"/>
          <w:smallCaps w:val="false"/>
          <w:sz w:val="20"/>
        </w:rPr>
        <w:t>.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Securities pursuant to this Agreement shall be deemed to be in the same respective proportions as the total proceeds from the offering of the Offered Securities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amount paid or payable by a party as a result of the losses, claims, damages, liabilities and expenses referred to above shall be deemed to include, subject to the limitations set forth in ‎Section 9(c), any legal or other reasonable and documented fees or expenses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no additional notice shall be required with respect to any action for which notice has been given under ‎Section 9(c) for purposes of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Notwithstanding the provisions of this ‎Section 10,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hAnsi="Times New Roman"/>
          <w:caps w:val="false"/>
          <w:smallCaps w:val="false"/>
          <w:sz w:val="20"/>
          <w:u w:val="single"/>
        </w:rPr>
        <w:t>Schedule A</w:t>
      </w:r>
      <w:r>
        <w:rPr>
          <w:rFonts w:ascii="Times New Roman" w:hAnsi="Times New Roman"/>
          <w:caps w:val="false"/>
          <w:smallCaps w:val="false"/>
          <w:sz w:val="20"/>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officer or employee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11.</w:t>
      </w:r>
      <w:r>
        <w:rPr>
          <w:rFonts w:ascii="Times New Roman" w:hAnsi="Times New Roman"/>
          <w:caps w:val="false"/>
          <w:smallCaps w:val="false"/>
          <w:sz w:val="20"/>
        </w:rPr>
        <w:t>    </w:t>
      </w:r>
      <w:r>
        <w:rPr>
          <w:rFonts w:ascii="Times New Roman" w:hAnsi="Times New Roman"/>
          <w:b/>
          <w:caps w:val="false"/>
          <w:smallCaps w:val="false"/>
          <w:sz w:val="20"/>
        </w:rPr>
        <w:t>Default of One or More of the Several Underwriters</w:t>
      </w:r>
      <w:r>
        <w:rPr>
          <w:rFonts w:ascii="Times New Roman" w:hAnsi="Times New Roman"/>
          <w:i/>
          <w:caps w:val="false"/>
          <w:smallCaps w:val="false"/>
          <w:sz w:val="20"/>
        </w:rPr>
        <w:t>.</w:t>
      </w:r>
      <w:r>
        <w:rPr>
          <w:rFonts w:ascii="Times New Roman" w:hAnsi="Times New Roman"/>
          <w:caps w:val="false"/>
          <w:smallCaps w:val="false"/>
          <w:sz w:val="20"/>
        </w:rPr>
        <w:t xml:space="preserve"> If, on the Closing Date any one or 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Offered Securities set forth opposite their respective names on </w:t>
      </w:r>
      <w:r>
        <w:rPr>
          <w:rFonts w:ascii="Times New Roman" w:hAnsi="Times New Roman"/>
          <w:caps w:val="false"/>
          <w:smallCaps w:val="false"/>
          <w:sz w:val="20"/>
          <w:u w:val="single"/>
        </w:rPr>
        <w:t>Schedule A</w:t>
      </w:r>
      <w:r>
        <w:rPr>
          <w:rFonts w:ascii="Times New Roman" w:hAnsi="Times New Roman"/>
          <w:caps w:val="false"/>
          <w:smallCaps w:val="false"/>
          <w:sz w:val="20"/>
        </w:rPr>
        <w:t xml:space="preserve"> bears to the aggregate number of Offered Securities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Closing Date, but in no event for longer than seven days in order that the required changes, if any, to the Registration Statement and the Prospectus or any other documents or arrangements may be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used in this Agreement, the term “</w:t>
      </w:r>
      <w:r>
        <w:rPr>
          <w:rFonts w:ascii="Times New Roman" w:hAnsi="Times New Roman"/>
          <w:b/>
          <w:caps w:val="false"/>
          <w:smallCaps w:val="false"/>
          <w:sz w:val="20"/>
        </w:rPr>
        <w:t>Underwriter</w:t>
      </w:r>
      <w:r>
        <w:rPr>
          <w:rFonts w:ascii="Times New Roman" w:hAnsi="Times New Roman"/>
          <w:caps w:val="false"/>
          <w:smallCaps w:val="false"/>
          <w:sz w:val="20"/>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12.</w:t>
      </w:r>
      <w:r>
        <w:rPr>
          <w:rFonts w:ascii="Times New Roman" w:hAnsi="Times New Roman"/>
          <w:caps w:val="false"/>
          <w:smallCaps w:val="false"/>
          <w:sz w:val="20"/>
        </w:rPr>
        <w:t>    </w:t>
      </w:r>
      <w:r>
        <w:rPr>
          <w:rFonts w:ascii="Times New Roman" w:hAnsi="Times New Roman"/>
          <w:b/>
          <w:caps w:val="false"/>
          <w:smallCaps w:val="false"/>
          <w:sz w:val="20"/>
        </w:rPr>
        <w:t>Termination of this Agreement</w:t>
      </w:r>
      <w:r>
        <w:rPr>
          <w:rFonts w:ascii="Times New Roman" w:hAnsi="Times New Roman"/>
          <w:i/>
          <w:caps w:val="false"/>
          <w:smallCaps w:val="false"/>
          <w:sz w:val="20"/>
        </w:rPr>
        <w:t>.</w:t>
      </w:r>
      <w:r>
        <w:rPr>
          <w:rFonts w:ascii="Times New Roman" w:hAnsi="Times New Roman"/>
          <w:caps w:val="false"/>
          <w:smallCaps w:val="false"/>
          <w:sz w:val="20"/>
        </w:rPr>
        <w:t xml:space="preserve"> Prior to the purchase of the Offered Securities by the Underwriters on the Closing Date, this Agreement may be terminated by Jefferies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California authorities; (iii) there shall have occurred any outbreak or escalation of national or international hostilities or any crisis or calamity, or any substantial change in the United States or international financial markets, or any substantial change or development involving a prospective substantial change in United States’ or international political, financial or economic conditions, as in the judgment of Jefferies is material and adverse and makes it impracticable to market the Offered Securities in the manner and on the terms described in the Time of Sale Prospectus or the Prospectus or to enforce contracts for the sale of securities; (iv) in the judgment of Jefferies there shall have occurred any Material Adverse Change; or (v) the Company shall have sustained a loss by strike, fire, flood, earthquake, accident or other calamity of such character as in the judgment of Jefferies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the provisions of ‎Section 9 and ‎Section 10 shall at all times be effective and shall survive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13.</w:t>
      </w:r>
      <w:r>
        <w:rPr>
          <w:rFonts w:ascii="Times New Roman" w:hAnsi="Times New Roman"/>
          <w:caps w:val="false"/>
          <w:smallCaps w:val="false"/>
          <w:sz w:val="20"/>
        </w:rPr>
        <w:t>    </w:t>
      </w:r>
      <w:r>
        <w:rPr>
          <w:rFonts w:ascii="Times New Roman" w:hAnsi="Times New Roman"/>
          <w:b/>
          <w:caps w:val="false"/>
          <w:smallCaps w:val="false"/>
          <w:sz w:val="20"/>
        </w:rPr>
        <w:t xml:space="preserve">No Advisory or Fiduciary Relationship. </w:t>
      </w:r>
      <w:r>
        <w:rPr>
          <w:rFonts w:ascii="Times New Roman" w:hAnsi="Times New Roman"/>
          <w:caps w:val="false"/>
          <w:smallCaps w:val="false"/>
          <w:sz w:val="20"/>
        </w:rPr>
        <w:t>The Company acknowledges and agrees that (a) the purchase and sale of the 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14.</w:t>
      </w:r>
      <w:r>
        <w:rPr>
          <w:rFonts w:ascii="Times New Roman" w:hAnsi="Times New Roman"/>
          <w:caps w:val="false"/>
          <w:smallCaps w:val="false"/>
          <w:sz w:val="20"/>
        </w:rPr>
        <w:t>    </w:t>
      </w:r>
      <w:r>
        <w:rPr>
          <w:rFonts w:ascii="Times New Roman" w:hAnsi="Times New Roman"/>
          <w:b/>
          <w:caps w:val="false"/>
          <w:smallCaps w:val="false"/>
          <w:sz w:val="20"/>
        </w:rPr>
        <w:t>Representations and Indemnities to Survive Delivery</w:t>
      </w:r>
      <w:r>
        <w:rPr>
          <w:rFonts w:ascii="Times New Roman" w:hAnsi="Times New Roman"/>
          <w:i/>
          <w:caps w:val="false"/>
          <w:smallCaps w:val="false"/>
          <w:sz w:val="20"/>
        </w:rPr>
        <w:t>.</w:t>
      </w:r>
      <w:r>
        <w:rPr>
          <w:rFonts w:ascii="Times New Roman" w:hAnsi="Times New Roman"/>
          <w:caps w:val="false"/>
          <w:smallCaps w:val="false"/>
          <w:sz w:val="20"/>
        </w:rPr>
        <w:t xml:space="preserve">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15.</w:t>
      </w:r>
      <w:r>
        <w:rPr>
          <w:rFonts w:ascii="Times New Roman" w:hAnsi="Times New Roman"/>
          <w:caps w:val="false"/>
          <w:smallCaps w:val="false"/>
          <w:sz w:val="20"/>
        </w:rPr>
        <w:t>    </w:t>
      </w:r>
      <w:r>
        <w:rPr>
          <w:rFonts w:ascii="Times New Roman" w:hAnsi="Times New Roman"/>
          <w:b/>
          <w:caps w:val="false"/>
          <w:smallCaps w:val="false"/>
          <w:sz w:val="20"/>
        </w:rPr>
        <w:t>Notices</w:t>
      </w:r>
      <w:r>
        <w:rPr>
          <w:rFonts w:ascii="Times New Roman" w:hAnsi="Times New Roman"/>
          <w:caps w:val="false"/>
          <w:smallCaps w:val="false"/>
          <w:sz w:val="20"/>
        </w:rPr>
        <w:t>. All communications hereunder shall be in writing and shall be mailed, hand delivered or telecopied and confirmed to the parties hereto as follows:</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2360"/>
        <w:gridCol w:w="3425"/>
      </w:tblGrid>
      <w:tr>
        <w:trPr/>
        <w:tc>
          <w:tcPr>
            <w:tcW w:w="2360" w:type="dxa"/>
            <w:tcBorders/>
            <w:vAlign w:val="center"/>
          </w:tcPr>
          <w:p>
            <w:pPr>
              <w:pStyle w:val="TableContents"/>
              <w:bidi w:val="0"/>
              <w:spacing w:before="0" w:after="283"/>
              <w:jc w:val="left"/>
              <w:rPr/>
            </w:pPr>
            <w:r>
              <w:rPr/>
              <w:t>If to the Representatives:</w:t>
            </w:r>
          </w:p>
        </w:tc>
        <w:tc>
          <w:tcPr>
            <w:tcW w:w="3425" w:type="dxa"/>
            <w:tcBorders/>
            <w:vAlign w:val="center"/>
          </w:tcPr>
          <w:p>
            <w:pPr>
              <w:pStyle w:val="TableContents"/>
              <w:bidi w:val="0"/>
              <w:spacing w:before="0" w:after="283"/>
              <w:jc w:val="left"/>
              <w:rPr/>
            </w:pPr>
            <w:r>
              <w:rPr/>
              <w:t>Jefferies LLC</w:t>
            </w:r>
          </w:p>
        </w:tc>
      </w:tr>
      <w:tr>
        <w:trPr/>
        <w:tc>
          <w:tcPr>
            <w:tcW w:w="23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520 Madison Avenue</w:t>
              <w:br/>
              <w:t>New York, New York 10022</w:t>
              <w:br/>
              <w:t>Facsimile: (646) 619-4437</w:t>
              <w:br/>
              <w:t>Attention: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Stifel, Nicolaus &amp; Company, Incorporated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South Street 15th Floor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Baltimore, Maryland 21202</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Facsimile: (443) 224-1273</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Syndicate Department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785" w:type="dxa"/>
        <w:jc w:val="left"/>
        <w:tblInd w:w="0" w:type="dxa"/>
        <w:tblLayout w:type="fixed"/>
        <w:tblCellMar>
          <w:top w:w="0" w:type="dxa"/>
          <w:left w:w="0" w:type="dxa"/>
          <w:bottom w:w="0" w:type="dxa"/>
          <w:right w:w="0" w:type="dxa"/>
        </w:tblCellMar>
      </w:tblPr>
      <w:tblGrid>
        <w:gridCol w:w="1805"/>
        <w:gridCol w:w="3980"/>
      </w:tblGrid>
      <w:tr>
        <w:trPr/>
        <w:tc>
          <w:tcPr>
            <w:tcW w:w="18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Blair &amp; Company, L.L.C.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150 North Riverside Plaza</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Chicago, Illinois 60606</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Facsimile: (312) 551-4646</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Equity Capital Markets</w:t>
            </w:r>
          </w:p>
        </w:tc>
      </w:tr>
      <w:tr>
        <w:trPr/>
        <w:tc>
          <w:tcPr>
            <w:tcW w:w="18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with a copy to:</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Cooley LLP</w:t>
            </w:r>
          </w:p>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Embarcadero Center, 20th Floor</w:t>
              <w:br/>
              <w:t>San Francisco, California 94111</w:t>
              <w:br/>
              <w:t>Attention:  Denny Won</w:t>
            </w:r>
          </w:p>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Charlie Kim</w:t>
            </w:r>
          </w:p>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Courtney Tygesson</w:t>
            </w:r>
          </w:p>
        </w:tc>
      </w:tr>
      <w:tr>
        <w:trPr/>
        <w:tc>
          <w:tcPr>
            <w:tcW w:w="18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If to the Company:</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343 Allerton Avenue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San Francisco, California 94080</w:t>
              <w:br/>
              <w:t>Facsimile: (888) 482-2602</w:t>
              <w:br/>
              <w:t>Attention: Shawn Singh, Chief Executive Officer</w:t>
            </w:r>
          </w:p>
        </w:tc>
      </w:tr>
      <w:tr>
        <w:trPr/>
        <w:tc>
          <w:tcPr>
            <w:tcW w:w="180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with a copy to:</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Latham &amp; Watkins LLP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330 North Wabash Avenue, Suite 2800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Chicago, Illinois 60611</w:t>
              <w:br/>
              <w:t>Attention:  Christopher Lueking</w:t>
            </w:r>
          </w:p>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Scott Westhoff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party hereto may change the address for receipt of communications by giving written notice to the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16.</w:t>
      </w:r>
      <w:r>
        <w:rPr>
          <w:rFonts w:ascii="Times New Roman" w:hAnsi="Times New Roman"/>
          <w:caps w:val="false"/>
          <w:smallCaps w:val="false"/>
          <w:sz w:val="20"/>
        </w:rPr>
        <w:t>    </w:t>
      </w:r>
      <w:r>
        <w:rPr>
          <w:rFonts w:ascii="Times New Roman" w:hAnsi="Times New Roman"/>
          <w:b/>
          <w:caps w:val="false"/>
          <w:smallCaps w:val="false"/>
          <w:sz w:val="20"/>
        </w:rPr>
        <w:t>Successors</w:t>
      </w:r>
      <w:r>
        <w:rPr>
          <w:rFonts w:ascii="Times New Roman" w:hAnsi="Times New Roman"/>
          <w:i/>
          <w:caps w:val="false"/>
          <w:smallCaps w:val="false"/>
          <w:sz w:val="20"/>
        </w:rPr>
        <w:t>.</w:t>
      </w:r>
      <w:r>
        <w:rPr>
          <w:rFonts w:ascii="Times New Roman" w:hAnsi="Times New Roman"/>
          <w:caps w:val="false"/>
          <w:smallCaps w:val="false"/>
          <w:sz w:val="20"/>
        </w:rPr>
        <w:t xml:space="preserve"> 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Times New Roman" w:hAnsi="Times New Roman"/>
          <w:b/>
          <w:caps w:val="false"/>
          <w:smallCaps w:val="false"/>
          <w:sz w:val="20"/>
        </w:rPr>
        <w:t>successors</w:t>
      </w:r>
      <w:r>
        <w:rPr>
          <w:rFonts w:ascii="Times New Roman" w:hAnsi="Times New Roman"/>
          <w:caps w:val="false"/>
          <w:smallCaps w:val="false"/>
          <w:sz w:val="20"/>
        </w:rPr>
        <w:t>” shall not include any purchaser of the Offered Securities as such from any of the Underwriters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17.</w:t>
      </w:r>
      <w:r>
        <w:rPr>
          <w:rFonts w:ascii="Times New Roman" w:hAnsi="Times New Roman"/>
          <w:caps w:val="false"/>
          <w:smallCaps w:val="false"/>
          <w:sz w:val="20"/>
        </w:rPr>
        <w:t>    </w:t>
      </w:r>
      <w:r>
        <w:rPr>
          <w:rFonts w:ascii="Times New Roman" w:hAnsi="Times New Roman"/>
          <w:b/>
          <w:caps w:val="false"/>
          <w:smallCaps w:val="false"/>
          <w:sz w:val="20"/>
        </w:rPr>
        <w:t>Partial Unenforceability</w:t>
      </w:r>
      <w:r>
        <w:rPr>
          <w:rFonts w:ascii="Times New Roman" w:hAnsi="Times New Roman"/>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18.</w:t>
      </w:r>
      <w:r>
        <w:rPr>
          <w:rFonts w:ascii="Times New Roman" w:hAnsi="Times New Roman"/>
          <w:caps w:val="false"/>
          <w:smallCaps w:val="false"/>
          <w:sz w:val="20"/>
        </w:rPr>
        <w:t>    </w:t>
      </w:r>
      <w:r>
        <w:rPr>
          <w:rFonts w:ascii="Times New Roman" w:hAnsi="Times New Roman"/>
          <w:b/>
          <w:caps w:val="false"/>
          <w:smallCaps w:val="false"/>
          <w:sz w:val="20"/>
        </w:rPr>
        <w:t xml:space="preserve">Recognition of the U.S. Special Resolution Regimes.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this Agreement, (A) “</w:t>
      </w:r>
      <w:r>
        <w:rPr>
          <w:rFonts w:ascii="Times New Roman" w:hAnsi="Times New Roman"/>
          <w:b/>
          <w:caps w:val="false"/>
          <w:smallCaps w:val="false"/>
          <w:sz w:val="20"/>
        </w:rPr>
        <w:t>BHC Act Affiliate</w:t>
      </w:r>
      <w:r>
        <w:rPr>
          <w:rFonts w:ascii="Times New Roman" w:hAnsi="Times New Roman"/>
          <w:caps w:val="false"/>
          <w:smallCaps w:val="false"/>
          <w:sz w:val="20"/>
        </w:rPr>
        <w:t>” has the meaning assigned to the term “affiliate” in, and shall be interpreted in accordance with, 12 U.S.C. § 1841(k); (B) “</w:t>
      </w:r>
      <w:r>
        <w:rPr>
          <w:rFonts w:ascii="Times New Roman" w:hAnsi="Times New Roman"/>
          <w:b/>
          <w:caps w:val="false"/>
          <w:smallCaps w:val="false"/>
          <w:sz w:val="20"/>
        </w:rPr>
        <w:t>Covered Entity</w:t>
      </w:r>
      <w:r>
        <w:rPr>
          <w:rFonts w:ascii="Times New Roman" w:hAnsi="Times New Roman"/>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caps w:val="false"/>
          <w:smallCaps w:val="false"/>
          <w:sz w:val="20"/>
        </w:rPr>
        <w:t>Default Right</w:t>
      </w:r>
      <w:r>
        <w:rPr>
          <w:rFonts w:ascii="Times New Roman" w:hAnsi="Times New Roman"/>
          <w:caps w:val="false"/>
          <w:smallCaps w:val="false"/>
          <w:sz w:val="20"/>
        </w:rPr>
        <w:t>” has the meaning assigned to that term in, and shall be interpreted in accordance with, 12 C.F.R. §§ 252.81, 47.2 or 382.1, as applicable; and (D) “</w:t>
      </w:r>
      <w:r>
        <w:rPr>
          <w:rFonts w:ascii="Times New Roman" w:hAnsi="Times New Roman"/>
          <w:b/>
          <w:caps w:val="false"/>
          <w:smallCaps w:val="false"/>
          <w:sz w:val="20"/>
        </w:rPr>
        <w:t>U.S. Special Resolution Regime</w:t>
      </w:r>
      <w:r>
        <w:rPr>
          <w:rFonts w:ascii="Times New Roman" w:hAnsi="Times New Roman"/>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19.</w:t>
      </w:r>
      <w:r>
        <w:rPr>
          <w:rFonts w:ascii="Times New Roman" w:hAnsi="Times New Roman"/>
          <w:caps w:val="false"/>
          <w:smallCaps w:val="false"/>
          <w:sz w:val="20"/>
        </w:rPr>
        <w:t>    </w:t>
      </w:r>
      <w:r>
        <w:rPr>
          <w:rFonts w:ascii="Times New Roman" w:hAnsi="Times New Roman"/>
          <w:b/>
          <w:caps w:val="false"/>
          <w:smallCaps w:val="false"/>
          <w:sz w:val="20"/>
        </w:rPr>
        <w:t>Governing Law Provisions</w:t>
      </w:r>
      <w:r>
        <w:rPr>
          <w:rFonts w:ascii="Times New Roman" w:hAnsi="Times New Roman"/>
          <w:i/>
          <w:caps w:val="false"/>
          <w:smallCaps w:val="false"/>
          <w:sz w:val="20"/>
        </w:rPr>
        <w:t>.</w:t>
      </w:r>
      <w:r>
        <w:rPr>
          <w:rFonts w:ascii="Times New Roman" w:hAnsi="Times New Roman"/>
          <w:caps w:val="false"/>
          <w:smallCaps w:val="false"/>
          <w:sz w:val="20"/>
        </w:rPr>
        <w:t xml:space="preserve">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hAnsi="Times New Roman"/>
          <w:b/>
          <w:caps w:val="false"/>
          <w:smallCaps w:val="false"/>
          <w:sz w:val="20"/>
        </w:rPr>
        <w:t>Related Proceedings</w:t>
      </w:r>
      <w:r>
        <w:rPr>
          <w:rFonts w:ascii="Times New Roman" w:hAnsi="Times New Roman"/>
          <w:caps w:val="false"/>
          <w:smallCaps w:val="false"/>
          <w:sz w:val="20"/>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caps w:val="false"/>
          <w:smallCaps w:val="false"/>
          <w:sz w:val="20"/>
        </w:rPr>
        <w:t>Specified Courts</w:t>
      </w:r>
      <w:r>
        <w:rPr>
          <w:rFonts w:ascii="Times New Roman" w:hAnsi="Times New Roman"/>
          <w:caps w:val="false"/>
          <w:smallCaps w:val="false"/>
          <w:sz w:val="20"/>
        </w:rPr>
        <w:t>”), and each party irrevocably submits to the exclusive jurisdiction (except for proceedings instituted in regard to the enforcement of a judgment of any such court (a “</w:t>
      </w:r>
      <w:r>
        <w:rPr>
          <w:rFonts w:ascii="Times New Roman" w:hAnsi="Times New Roman"/>
          <w:b/>
          <w:caps w:val="false"/>
          <w:smallCaps w:val="false"/>
          <w:sz w:val="20"/>
        </w:rPr>
        <w:t>Related Judgment</w:t>
      </w:r>
      <w:r>
        <w:rPr>
          <w:rFonts w:ascii="Times New Roman" w:hAnsi="Times New Roman"/>
          <w:caps w:val="false"/>
          <w:smallCaps w:val="false"/>
          <w:sz w:val="20"/>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b/>
          <w:caps w:val="false"/>
          <w:smallCaps w:val="false"/>
          <w:sz w:val="20"/>
        </w:rPr>
        <w:t>Section 20.</w:t>
      </w:r>
      <w:r>
        <w:rPr>
          <w:rFonts w:ascii="Times New Roman" w:hAnsi="Times New Roman"/>
          <w:caps w:val="false"/>
          <w:smallCaps w:val="false"/>
          <w:sz w:val="20"/>
        </w:rPr>
        <w:t>    </w:t>
      </w:r>
      <w:r>
        <w:rPr>
          <w:rFonts w:ascii="Times New Roman" w:hAnsi="Times New Roman"/>
          <w:b/>
          <w:caps w:val="false"/>
          <w:smallCaps w:val="false"/>
          <w:sz w:val="20"/>
        </w:rPr>
        <w:t>General Provisions.</w:t>
      </w:r>
      <w:r>
        <w:rPr>
          <w:rFonts w:ascii="Times New Roman" w:hAnsi="Times New Roman"/>
          <w:caps w:val="false"/>
          <w:smallCaps w:val="false"/>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8"/>
        <w:gridCol w:w="441"/>
        <w:gridCol w:w="3978"/>
        <w:gridCol w:w="1138"/>
      </w:tblGrid>
      <w:tr>
        <w:trPr/>
        <w:tc>
          <w:tcPr>
            <w:tcW w:w="4648" w:type="dxa"/>
            <w:tcBorders/>
          </w:tcPr>
          <w:p>
            <w:pPr>
              <w:pStyle w:val="TableContents"/>
              <w:bidi w:val="0"/>
              <w:spacing w:before="0" w:after="0"/>
              <w:ind w:left="0" w:right="0" w:hanging="0"/>
              <w:jc w:val="left"/>
              <w:rPr/>
            </w:pPr>
            <w:r>
              <w:rPr/>
              <w:t> </w:t>
            </w:r>
          </w:p>
        </w:tc>
        <w:tc>
          <w:tcPr>
            <w:tcW w:w="4419"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 </w:t>
            </w:r>
          </w:p>
        </w:tc>
        <w:tc>
          <w:tcPr>
            <w:tcW w:w="1138" w:type="dxa"/>
            <w:tcBorders/>
          </w:tcPr>
          <w:p>
            <w:pPr>
              <w:pStyle w:val="TableContents"/>
              <w:bidi w:val="0"/>
              <w:spacing w:before="0" w:after="0"/>
              <w:ind w:left="0" w:right="0" w:hanging="0"/>
              <w:jc w:val="left"/>
              <w:rPr/>
            </w:pPr>
            <w:r>
              <w:rPr/>
              <w:t> </w:t>
            </w:r>
          </w:p>
        </w:tc>
      </w:tr>
      <w:tr>
        <w:trPr/>
        <w:tc>
          <w:tcPr>
            <w:tcW w:w="4648" w:type="dxa"/>
            <w:tcBorders/>
          </w:tcPr>
          <w:p>
            <w:pPr>
              <w:pStyle w:val="TableContents"/>
              <w:bidi w:val="0"/>
              <w:spacing w:before="0" w:after="283"/>
              <w:jc w:val="left"/>
              <w:rPr/>
            </w:pPr>
            <w:r>
              <w:rPr/>
              <w:t> </w:t>
            </w:r>
          </w:p>
        </w:tc>
        <w:tc>
          <w:tcPr>
            <w:tcW w:w="4419" w:type="dxa"/>
            <w:gridSpan w:val="2"/>
            <w:tcBorders/>
          </w:tcPr>
          <w:p>
            <w:pPr>
              <w:pStyle w:val="TableContents"/>
              <w:bidi w:val="0"/>
              <w:spacing w:before="0" w:after="283"/>
              <w:jc w:val="left"/>
              <w:rPr/>
            </w:pPr>
            <w:r>
              <w:rPr/>
              <w:t> </w:t>
            </w:r>
          </w:p>
        </w:tc>
        <w:tc>
          <w:tcPr>
            <w:tcW w:w="1138" w:type="dxa"/>
            <w:tcBorders/>
          </w:tcPr>
          <w:p>
            <w:pPr>
              <w:pStyle w:val="TableContents"/>
              <w:bidi w:val="0"/>
              <w:spacing w:before="0" w:after="283"/>
              <w:jc w:val="left"/>
              <w:rPr/>
            </w:pPr>
            <w:r>
              <w:rPr/>
              <w:t> </w:t>
            </w:r>
          </w:p>
        </w:tc>
      </w:tr>
      <w:tr>
        <w:trPr/>
        <w:tc>
          <w:tcPr>
            <w:tcW w:w="4648" w:type="dxa"/>
            <w:tcBorders/>
          </w:tcPr>
          <w:p>
            <w:pPr>
              <w:pStyle w:val="TableContents"/>
              <w:bidi w:val="0"/>
              <w:spacing w:before="0" w:after="283"/>
              <w:jc w:val="left"/>
              <w:rPr/>
            </w:pPr>
            <w:r>
              <w:rPr/>
              <w:t> </w:t>
            </w:r>
          </w:p>
        </w:tc>
        <w:tc>
          <w:tcPr>
            <w:tcW w:w="4419" w:type="dxa"/>
            <w:gridSpan w:val="2"/>
            <w:tcBorders/>
          </w:tcPr>
          <w:p>
            <w:pPr>
              <w:pStyle w:val="TableContents"/>
              <w:bidi w:val="0"/>
              <w:spacing w:before="0" w:after="283"/>
              <w:jc w:val="left"/>
              <w:rPr>
                <w:b/>
              </w:rPr>
            </w:pPr>
            <w:r>
              <w:rPr>
                <w:b/>
              </w:rPr>
              <w:t>VISTAGEN THERAPEUTICS, INC.</w:t>
            </w:r>
          </w:p>
        </w:tc>
        <w:tc>
          <w:tcPr>
            <w:tcW w:w="1138" w:type="dxa"/>
            <w:tcBorders/>
          </w:tcPr>
          <w:p>
            <w:pPr>
              <w:pStyle w:val="TableContents"/>
              <w:bidi w:val="0"/>
              <w:spacing w:before="0" w:after="283"/>
              <w:jc w:val="left"/>
              <w:rPr/>
            </w:pPr>
            <w:r>
              <w:rPr/>
              <w:t> </w:t>
            </w:r>
          </w:p>
        </w:tc>
      </w:tr>
      <w:tr>
        <w:trPr/>
        <w:tc>
          <w:tcPr>
            <w:tcW w:w="4648" w:type="dxa"/>
            <w:tcBorders/>
          </w:tcPr>
          <w:p>
            <w:pPr>
              <w:pStyle w:val="TableContents"/>
              <w:bidi w:val="0"/>
              <w:spacing w:before="0" w:after="0"/>
              <w:ind w:left="0" w:right="0" w:hanging="0"/>
              <w:jc w:val="left"/>
              <w:rPr/>
            </w:pPr>
            <w:r>
              <w:rPr/>
              <w:t> </w:t>
            </w:r>
          </w:p>
        </w:tc>
        <w:tc>
          <w:tcPr>
            <w:tcW w:w="441" w:type="dxa"/>
            <w:tcBorders/>
          </w:tcPr>
          <w:p>
            <w:pPr>
              <w:pStyle w:val="TableContents"/>
              <w:bidi w:val="0"/>
              <w:spacing w:before="0" w:after="0"/>
              <w:ind w:left="0" w:right="0" w:hanging="0"/>
              <w:jc w:val="left"/>
              <w:rPr/>
            </w:pPr>
            <w:r>
              <w:rPr/>
              <w:t> </w:t>
            </w:r>
          </w:p>
        </w:tc>
        <w:tc>
          <w:tcPr>
            <w:tcW w:w="3978" w:type="dxa"/>
            <w:tcBorders/>
          </w:tcPr>
          <w:p>
            <w:pPr>
              <w:pStyle w:val="TableContents"/>
              <w:bidi w:val="0"/>
              <w:spacing w:before="0" w:after="0"/>
              <w:ind w:left="0" w:right="0" w:hanging="0"/>
              <w:jc w:val="left"/>
              <w:rPr/>
            </w:pPr>
            <w:r>
              <w:rPr/>
              <w:t> </w:t>
            </w:r>
          </w:p>
        </w:tc>
        <w:tc>
          <w:tcPr>
            <w:tcW w:w="1138" w:type="dxa"/>
            <w:tcBorders/>
          </w:tcPr>
          <w:p>
            <w:pPr>
              <w:pStyle w:val="TableContents"/>
              <w:bidi w:val="0"/>
              <w:spacing w:before="0" w:after="0"/>
              <w:ind w:left="0" w:right="0" w:hanging="0"/>
              <w:jc w:val="left"/>
              <w:rPr/>
            </w:pPr>
            <w:r>
              <w:rPr/>
              <w:t> </w:t>
            </w:r>
          </w:p>
        </w:tc>
      </w:tr>
      <w:tr>
        <w:trPr/>
        <w:tc>
          <w:tcPr>
            <w:tcW w:w="4648" w:type="dxa"/>
            <w:tcBorders/>
          </w:tcPr>
          <w:p>
            <w:pPr>
              <w:pStyle w:val="TableContents"/>
              <w:bidi w:val="0"/>
              <w:spacing w:before="0" w:after="283"/>
              <w:jc w:val="left"/>
              <w:rPr/>
            </w:pPr>
            <w:r>
              <w:rPr/>
              <w:t> </w:t>
            </w:r>
          </w:p>
        </w:tc>
        <w:tc>
          <w:tcPr>
            <w:tcW w:w="441" w:type="dxa"/>
            <w:tcBorders/>
          </w:tcPr>
          <w:p>
            <w:pPr>
              <w:pStyle w:val="TableContents"/>
              <w:bidi w:val="0"/>
              <w:spacing w:before="0" w:after="283"/>
              <w:jc w:val="left"/>
              <w:rPr/>
            </w:pPr>
            <w:r>
              <w:rPr/>
              <w:t> </w:t>
            </w:r>
          </w:p>
        </w:tc>
        <w:tc>
          <w:tcPr>
            <w:tcW w:w="3978" w:type="dxa"/>
            <w:tcBorders/>
          </w:tcPr>
          <w:p>
            <w:pPr>
              <w:pStyle w:val="TableContents"/>
              <w:bidi w:val="0"/>
              <w:spacing w:before="0" w:after="283"/>
              <w:jc w:val="left"/>
              <w:rPr/>
            </w:pPr>
            <w:r>
              <w:rPr/>
              <w:t> </w:t>
            </w:r>
          </w:p>
        </w:tc>
        <w:tc>
          <w:tcPr>
            <w:tcW w:w="1138" w:type="dxa"/>
            <w:tcBorders/>
          </w:tcPr>
          <w:p>
            <w:pPr>
              <w:pStyle w:val="TableContents"/>
              <w:bidi w:val="0"/>
              <w:spacing w:before="0" w:after="283"/>
              <w:jc w:val="left"/>
              <w:rPr/>
            </w:pPr>
            <w:r>
              <w:rPr/>
              <w:t> </w:t>
            </w:r>
          </w:p>
        </w:tc>
      </w:tr>
      <w:tr>
        <w:trPr/>
        <w:tc>
          <w:tcPr>
            <w:tcW w:w="4648" w:type="dxa"/>
            <w:tcBorders/>
          </w:tcPr>
          <w:p>
            <w:pPr>
              <w:pStyle w:val="TableContents"/>
              <w:bidi w:val="0"/>
              <w:spacing w:before="0" w:after="283"/>
              <w:jc w:val="left"/>
              <w:rPr/>
            </w:pPr>
            <w:r>
              <w:rPr/>
              <w:t> </w:t>
            </w:r>
          </w:p>
        </w:tc>
        <w:tc>
          <w:tcPr>
            <w:tcW w:w="441" w:type="dxa"/>
            <w:tcBorders/>
          </w:tcPr>
          <w:p>
            <w:pPr>
              <w:pStyle w:val="TableContents"/>
              <w:bidi w:val="0"/>
              <w:spacing w:before="0" w:after="283"/>
              <w:jc w:val="left"/>
              <w:rPr/>
            </w:pPr>
            <w:r>
              <w:rPr/>
              <w:t> </w:t>
            </w:r>
          </w:p>
        </w:tc>
        <w:tc>
          <w:tcPr>
            <w:tcW w:w="3978" w:type="dxa"/>
            <w:tcBorders/>
          </w:tcPr>
          <w:p>
            <w:pPr>
              <w:pStyle w:val="TableContents"/>
              <w:bidi w:val="0"/>
              <w:spacing w:before="0" w:after="283"/>
              <w:jc w:val="left"/>
              <w:rPr/>
            </w:pPr>
            <w:r>
              <w:rPr/>
              <w:t> </w:t>
            </w:r>
          </w:p>
        </w:tc>
        <w:tc>
          <w:tcPr>
            <w:tcW w:w="1138" w:type="dxa"/>
            <w:tcBorders/>
          </w:tcPr>
          <w:p>
            <w:pPr>
              <w:pStyle w:val="TableContents"/>
              <w:bidi w:val="0"/>
              <w:spacing w:before="0" w:after="283"/>
              <w:jc w:val="left"/>
              <w:rPr/>
            </w:pPr>
            <w:r>
              <w:rPr/>
              <w:t> </w:t>
            </w:r>
          </w:p>
        </w:tc>
      </w:tr>
      <w:tr>
        <w:trPr/>
        <w:tc>
          <w:tcPr>
            <w:tcW w:w="4648" w:type="dxa"/>
            <w:tcBorders/>
          </w:tcPr>
          <w:p>
            <w:pPr>
              <w:pStyle w:val="TableContents"/>
              <w:bidi w:val="0"/>
              <w:spacing w:before="0" w:after="0"/>
              <w:ind w:left="0" w:right="0" w:hanging="0"/>
              <w:jc w:val="left"/>
              <w:rPr/>
            </w:pPr>
            <w:r>
              <w:rPr/>
              <w:t> </w:t>
            </w:r>
          </w:p>
        </w:tc>
        <w:tc>
          <w:tcPr>
            <w:tcW w:w="441" w:type="dxa"/>
            <w:tcBorders/>
          </w:tcPr>
          <w:p>
            <w:pPr>
              <w:pStyle w:val="TableContents"/>
              <w:bidi w:val="0"/>
              <w:spacing w:before="0" w:after="0"/>
              <w:ind w:left="0" w:right="0" w:hanging="0"/>
              <w:jc w:val="left"/>
              <w:rPr/>
            </w:pPr>
            <w:r>
              <w:rPr/>
              <w:t> </w:t>
            </w:r>
          </w:p>
        </w:tc>
        <w:tc>
          <w:tcPr>
            <w:tcW w:w="3978" w:type="dxa"/>
            <w:tcBorders/>
            <w:vAlign w:val="bottom"/>
          </w:tcPr>
          <w:p>
            <w:pPr>
              <w:pStyle w:val="TableContents"/>
              <w:bidi w:val="0"/>
              <w:spacing w:before="0" w:after="0"/>
              <w:ind w:left="0" w:right="0" w:hanging="0"/>
              <w:jc w:val="left"/>
              <w:rPr/>
            </w:pPr>
            <w:r>
              <w:rPr/>
              <w:t> </w:t>
            </w:r>
          </w:p>
        </w:tc>
        <w:tc>
          <w:tcPr>
            <w:tcW w:w="1138" w:type="dxa"/>
            <w:tcBorders/>
          </w:tcPr>
          <w:p>
            <w:pPr>
              <w:pStyle w:val="TableContents"/>
              <w:bidi w:val="0"/>
              <w:spacing w:before="0" w:after="0"/>
              <w:ind w:left="0" w:right="0" w:hanging="0"/>
              <w:jc w:val="left"/>
              <w:rPr/>
            </w:pPr>
            <w:r>
              <w:rPr/>
              <w:t> </w:t>
            </w:r>
          </w:p>
        </w:tc>
      </w:tr>
      <w:tr>
        <w:trPr/>
        <w:tc>
          <w:tcPr>
            <w:tcW w:w="4648" w:type="dxa"/>
            <w:tcBorders/>
          </w:tcPr>
          <w:p>
            <w:pPr>
              <w:pStyle w:val="TableContents"/>
              <w:bidi w:val="0"/>
              <w:spacing w:before="0" w:after="0"/>
              <w:ind w:left="0" w:right="0" w:hanging="0"/>
              <w:jc w:val="left"/>
              <w:rPr/>
            </w:pPr>
            <w:r>
              <w:rPr/>
              <w:t> </w:t>
            </w:r>
          </w:p>
        </w:tc>
        <w:tc>
          <w:tcPr>
            <w:tcW w:w="44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78"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Shawn K. Singh</w:t>
            </w:r>
          </w:p>
        </w:tc>
        <w:tc>
          <w:tcPr>
            <w:tcW w:w="1138" w:type="dxa"/>
            <w:tcBorders/>
          </w:tcPr>
          <w:p>
            <w:pPr>
              <w:pStyle w:val="TableContents"/>
              <w:bidi w:val="0"/>
              <w:spacing w:before="0" w:after="0"/>
              <w:ind w:left="0" w:right="0" w:hanging="0"/>
              <w:jc w:val="left"/>
              <w:rPr/>
            </w:pPr>
            <w:r>
              <w:rPr/>
              <w:t> </w:t>
            </w:r>
          </w:p>
        </w:tc>
      </w:tr>
      <w:tr>
        <w:trPr/>
        <w:tc>
          <w:tcPr>
            <w:tcW w:w="4648" w:type="dxa"/>
            <w:tcBorders/>
          </w:tcPr>
          <w:p>
            <w:pPr>
              <w:pStyle w:val="TableContents"/>
              <w:bidi w:val="0"/>
              <w:spacing w:before="0" w:after="0"/>
              <w:ind w:left="0" w:right="0" w:hanging="0"/>
              <w:jc w:val="left"/>
              <w:rPr/>
            </w:pPr>
            <w:r>
              <w:rPr/>
              <w:t> </w:t>
            </w:r>
          </w:p>
        </w:tc>
        <w:tc>
          <w:tcPr>
            <w:tcW w:w="441" w:type="dxa"/>
            <w:tcBorders/>
          </w:tcPr>
          <w:p>
            <w:pPr>
              <w:pStyle w:val="TableContents"/>
              <w:bidi w:val="0"/>
              <w:spacing w:before="0" w:after="0"/>
              <w:ind w:left="0" w:right="0" w:hanging="0"/>
              <w:jc w:val="left"/>
              <w:rPr/>
            </w:pPr>
            <w:r>
              <w:rPr/>
              <w:t> </w:t>
            </w:r>
          </w:p>
        </w:tc>
        <w:tc>
          <w:tcPr>
            <w:tcW w:w="3978" w:type="dxa"/>
            <w:tcBorders/>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Shawn K. Singh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 </w:t>
            </w:r>
          </w:p>
        </w:tc>
        <w:tc>
          <w:tcPr>
            <w:tcW w:w="1138"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7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foregoing Underwriting Agreement is hereby confirmed and accepted by the Representatives in New York, New York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JEFFERIES LLC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STIFEL, NICOLAUS &amp; COMPANY, INCORPORATED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WILLIAM BLAIR &amp; COMPANY, L.L.C.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Acting individually and as Representatives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the several Underwriters named in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attached </w:t>
      </w:r>
      <w:r>
        <w:rPr>
          <w:rFonts w:ascii="Times New Roman" w:hAnsi="Times New Roman"/>
          <w:caps w:val="false"/>
          <w:smallCaps w:val="false"/>
          <w:sz w:val="20"/>
          <w:u w:val="single"/>
        </w:rPr>
        <w:t>Schedule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JEFFERIES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18" w:type="dxa"/>
        <w:jc w:val="left"/>
        <w:tblInd w:w="0" w:type="dxa"/>
        <w:tblLayout w:type="fixed"/>
        <w:tblCellMar>
          <w:top w:w="0" w:type="dxa"/>
          <w:left w:w="0" w:type="dxa"/>
          <w:bottom w:w="0" w:type="dxa"/>
          <w:right w:w="0" w:type="dxa"/>
        </w:tblCellMar>
      </w:tblPr>
      <w:tblGrid>
        <w:gridCol w:w="373"/>
        <w:gridCol w:w="4353"/>
        <w:gridCol w:w="1492"/>
      </w:tblGrid>
      <w:tr>
        <w:trPr/>
        <w:tc>
          <w:tcPr>
            <w:tcW w:w="37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353"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Matthew Kim</w:t>
            </w:r>
          </w:p>
        </w:tc>
        <w:tc>
          <w:tcPr>
            <w:tcW w:w="1492" w:type="dxa"/>
            <w:tcBorders/>
          </w:tcPr>
          <w:p>
            <w:pPr>
              <w:pStyle w:val="TableContents"/>
              <w:bidi w:val="0"/>
              <w:spacing w:before="0" w:after="0"/>
              <w:ind w:left="0" w:right="0" w:hanging="0"/>
              <w:jc w:val="left"/>
              <w:rPr/>
            </w:pPr>
            <w:r>
              <w:rPr/>
              <w:t> </w:t>
            </w:r>
          </w:p>
        </w:tc>
      </w:tr>
      <w:tr>
        <w:trPr/>
        <w:tc>
          <w:tcPr>
            <w:tcW w:w="373" w:type="dxa"/>
            <w:tcBorders/>
          </w:tcPr>
          <w:p>
            <w:pPr>
              <w:pStyle w:val="TableContents"/>
              <w:bidi w:val="0"/>
              <w:spacing w:before="0" w:after="0"/>
              <w:ind w:left="0" w:right="0" w:hanging="0"/>
              <w:jc w:val="left"/>
              <w:rPr/>
            </w:pPr>
            <w:r>
              <w:rPr/>
              <w:t> </w:t>
            </w:r>
          </w:p>
        </w:tc>
        <w:tc>
          <w:tcPr>
            <w:tcW w:w="435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Matthew Kim </w:t>
            </w:r>
          </w:p>
        </w:tc>
        <w:tc>
          <w:tcPr>
            <w:tcW w:w="1492" w:type="dxa"/>
            <w:tcBorders/>
          </w:tcPr>
          <w:p>
            <w:pPr>
              <w:pStyle w:val="TableContents"/>
              <w:bidi w:val="0"/>
              <w:spacing w:before="0" w:after="0"/>
              <w:ind w:left="0" w:right="0" w:hanging="0"/>
              <w:jc w:val="left"/>
              <w:rPr/>
            </w:pPr>
            <w:r>
              <w:rPr/>
              <w:t> </w:t>
            </w:r>
          </w:p>
        </w:tc>
      </w:tr>
      <w:tr>
        <w:trPr/>
        <w:tc>
          <w:tcPr>
            <w:tcW w:w="373" w:type="dxa"/>
            <w:tcBorders/>
          </w:tcPr>
          <w:p>
            <w:pPr>
              <w:pStyle w:val="TableContents"/>
              <w:bidi w:val="0"/>
              <w:spacing w:before="0" w:after="0"/>
              <w:ind w:left="0" w:right="0" w:hanging="0"/>
              <w:jc w:val="left"/>
              <w:rPr/>
            </w:pPr>
            <w:r>
              <w:rPr/>
              <w:t> </w:t>
            </w:r>
          </w:p>
        </w:tc>
        <w:tc>
          <w:tcPr>
            <w:tcW w:w="435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Joint U.S. Head of Biopharmaceuticals </w:t>
            </w:r>
          </w:p>
        </w:tc>
        <w:tc>
          <w:tcPr>
            <w:tcW w:w="1492"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STIFEL, NICOLAUS &amp; COMPANY,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24" w:type="dxa"/>
        <w:jc w:val="left"/>
        <w:tblInd w:w="0" w:type="dxa"/>
        <w:tblLayout w:type="fixed"/>
        <w:tblCellMar>
          <w:top w:w="0" w:type="dxa"/>
          <w:left w:w="0" w:type="dxa"/>
          <w:bottom w:w="0" w:type="dxa"/>
          <w:right w:w="0" w:type="dxa"/>
        </w:tblCellMar>
      </w:tblPr>
      <w:tblGrid>
        <w:gridCol w:w="379"/>
        <w:gridCol w:w="4427"/>
        <w:gridCol w:w="1518"/>
      </w:tblGrid>
      <w:tr>
        <w:trPr/>
        <w:tc>
          <w:tcPr>
            <w:tcW w:w="37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427"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Nick Oust</w:t>
            </w:r>
          </w:p>
        </w:tc>
        <w:tc>
          <w:tcPr>
            <w:tcW w:w="1518" w:type="dxa"/>
            <w:tcBorders/>
          </w:tcPr>
          <w:p>
            <w:pPr>
              <w:pStyle w:val="TableContents"/>
              <w:bidi w:val="0"/>
              <w:spacing w:before="0" w:after="0"/>
              <w:ind w:left="0" w:right="0" w:hanging="0"/>
              <w:jc w:val="left"/>
              <w:rPr/>
            </w:pPr>
            <w:r>
              <w:rPr/>
              <w:t> </w:t>
            </w:r>
          </w:p>
        </w:tc>
      </w:tr>
      <w:tr>
        <w:trPr/>
        <w:tc>
          <w:tcPr>
            <w:tcW w:w="379" w:type="dxa"/>
            <w:tcBorders/>
          </w:tcPr>
          <w:p>
            <w:pPr>
              <w:pStyle w:val="TableContents"/>
              <w:bidi w:val="0"/>
              <w:spacing w:before="0" w:after="0"/>
              <w:ind w:left="0" w:right="0" w:hanging="0"/>
              <w:jc w:val="left"/>
              <w:rPr/>
            </w:pPr>
            <w:r>
              <w:rPr/>
              <w:t> </w:t>
            </w:r>
          </w:p>
        </w:tc>
        <w:tc>
          <w:tcPr>
            <w:tcW w:w="442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Nick Oust </w:t>
            </w:r>
          </w:p>
        </w:tc>
        <w:tc>
          <w:tcPr>
            <w:tcW w:w="1518" w:type="dxa"/>
            <w:tcBorders/>
          </w:tcPr>
          <w:p>
            <w:pPr>
              <w:pStyle w:val="TableContents"/>
              <w:bidi w:val="0"/>
              <w:spacing w:before="0" w:after="0"/>
              <w:ind w:left="0" w:right="0" w:hanging="0"/>
              <w:jc w:val="left"/>
              <w:rPr/>
            </w:pPr>
            <w:r>
              <w:rPr/>
              <w:t> </w:t>
            </w:r>
          </w:p>
        </w:tc>
      </w:tr>
      <w:tr>
        <w:trPr/>
        <w:tc>
          <w:tcPr>
            <w:tcW w:w="379" w:type="dxa"/>
            <w:tcBorders/>
          </w:tcPr>
          <w:p>
            <w:pPr>
              <w:pStyle w:val="TableContents"/>
              <w:bidi w:val="0"/>
              <w:spacing w:before="0" w:after="0"/>
              <w:ind w:left="0" w:right="0" w:hanging="0"/>
              <w:jc w:val="left"/>
              <w:rPr/>
            </w:pPr>
            <w:r>
              <w:rPr/>
              <w:t> </w:t>
            </w:r>
          </w:p>
        </w:tc>
        <w:tc>
          <w:tcPr>
            <w:tcW w:w="442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Director </w:t>
            </w:r>
          </w:p>
        </w:tc>
        <w:tc>
          <w:tcPr>
            <w:tcW w:w="1518"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WILLIAM BLAIR &amp;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70"/>
        <w:gridCol w:w="4323"/>
        <w:gridCol w:w="1482"/>
      </w:tblGrid>
      <w:tr>
        <w:trPr/>
        <w:tc>
          <w:tcPr>
            <w:tcW w:w="37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323"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Steve Maletzky</w:t>
            </w:r>
          </w:p>
        </w:tc>
        <w:tc>
          <w:tcPr>
            <w:tcW w:w="1482" w:type="dxa"/>
            <w:tcBorders/>
          </w:tcPr>
          <w:p>
            <w:pPr>
              <w:pStyle w:val="TableContents"/>
              <w:bidi w:val="0"/>
              <w:spacing w:before="0" w:after="0"/>
              <w:ind w:left="0" w:right="0" w:hanging="0"/>
              <w:jc w:val="left"/>
              <w:rPr/>
            </w:pPr>
            <w:r>
              <w:rPr/>
              <w:t> </w:t>
            </w:r>
          </w:p>
        </w:tc>
      </w:tr>
      <w:tr>
        <w:trPr/>
        <w:tc>
          <w:tcPr>
            <w:tcW w:w="370" w:type="dxa"/>
            <w:tcBorders/>
          </w:tcPr>
          <w:p>
            <w:pPr>
              <w:pStyle w:val="TableContents"/>
              <w:bidi w:val="0"/>
              <w:spacing w:before="0" w:after="0"/>
              <w:ind w:left="0" w:right="0" w:hanging="0"/>
              <w:jc w:val="left"/>
              <w:rPr/>
            </w:pPr>
            <w:r>
              <w:rPr/>
              <w:t> </w:t>
            </w:r>
          </w:p>
        </w:tc>
        <w:tc>
          <w:tcPr>
            <w:tcW w:w="432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Steve Maletzky </w:t>
            </w:r>
          </w:p>
        </w:tc>
        <w:tc>
          <w:tcPr>
            <w:tcW w:w="1482" w:type="dxa"/>
            <w:tcBorders/>
          </w:tcPr>
          <w:p>
            <w:pPr>
              <w:pStyle w:val="TableContents"/>
              <w:bidi w:val="0"/>
              <w:spacing w:before="0" w:after="0"/>
              <w:ind w:left="0" w:right="0" w:hanging="0"/>
              <w:jc w:val="left"/>
              <w:rPr/>
            </w:pPr>
            <w:r>
              <w:rPr/>
              <w:t> </w:t>
            </w:r>
          </w:p>
        </w:tc>
      </w:tr>
      <w:tr>
        <w:trPr/>
        <w:tc>
          <w:tcPr>
            <w:tcW w:w="370" w:type="dxa"/>
            <w:tcBorders/>
          </w:tcPr>
          <w:p>
            <w:pPr>
              <w:pStyle w:val="TableContents"/>
              <w:bidi w:val="0"/>
              <w:spacing w:before="0" w:after="0"/>
              <w:ind w:left="0" w:right="0" w:hanging="0"/>
              <w:jc w:val="left"/>
              <w:rPr/>
            </w:pPr>
            <w:r>
              <w:rPr/>
              <w:t> </w:t>
            </w:r>
          </w:p>
        </w:tc>
        <w:tc>
          <w:tcPr>
            <w:tcW w:w="432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Head of Capital Markets </w:t>
            </w:r>
          </w:p>
        </w:tc>
        <w:tc>
          <w:tcPr>
            <w:tcW w:w="1482"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9"/>
        <w:gridCol w:w="60"/>
        <w:gridCol w:w="110"/>
        <w:gridCol w:w="1750"/>
        <w:gridCol w:w="60"/>
        <w:gridCol w:w="60"/>
        <w:gridCol w:w="134"/>
        <w:gridCol w:w="1919"/>
        <w:gridCol w:w="60"/>
        <w:gridCol w:w="60"/>
        <w:gridCol w:w="127"/>
        <w:gridCol w:w="1801"/>
        <w:gridCol w:w="60"/>
        <w:gridCol w:w="60"/>
        <w:gridCol w:w="118"/>
        <w:gridCol w:w="1882"/>
        <w:gridCol w:w="65"/>
      </w:tblGrid>
      <w:tr>
        <w:trPr/>
        <w:tc>
          <w:tcPr>
            <w:tcW w:w="187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Underwriters</w:t>
            </w:r>
            <w:bookmarkStart w:id="4" w:name=".lead.D2"/>
            <w:bookmarkEnd w:id="4"/>
          </w:p>
        </w:tc>
        <w:tc>
          <w:tcPr>
            <w:tcW w:w="60" w:type="dxa"/>
            <w:tcBorders/>
            <w:vAlign w:val="center"/>
          </w:tcPr>
          <w:p>
            <w:pPr>
              <w:pStyle w:val="TableContents"/>
              <w:bidi w:val="0"/>
              <w:spacing w:before="0" w:after="283"/>
              <w:ind w:left="0" w:right="0" w:hanging="0"/>
              <w:jc w:val="left"/>
              <w:rPr/>
            </w:pPr>
            <w:r>
              <w:rPr/>
              <w:t> </w:t>
            </w:r>
            <w:bookmarkStart w:id="5" w:name=".amt.D2"/>
            <w:bookmarkEnd w:id="5"/>
          </w:p>
        </w:tc>
        <w:tc>
          <w:tcPr>
            <w:tcW w:w="186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Number of Offered Shares to be Purchased </w:t>
            </w:r>
            <w:bookmarkStart w:id="6" w:name=".trail.D2"/>
            <w:bookmarkEnd w:id="6"/>
          </w:p>
        </w:tc>
        <w:tc>
          <w:tcPr>
            <w:tcW w:w="60" w:type="dxa"/>
            <w:tcBorders/>
            <w:vAlign w:val="center"/>
          </w:tcPr>
          <w:p>
            <w:pPr>
              <w:pStyle w:val="TableContents"/>
              <w:bidi w:val="0"/>
              <w:spacing w:before="0" w:after="283"/>
              <w:jc w:val="left"/>
              <w:rPr/>
            </w:pPr>
            <w:r>
              <w:rPr/>
              <w:t> </w:t>
            </w:r>
            <w:bookmarkStart w:id="7" w:name=".lead.D3"/>
            <w:bookmarkEnd w:id="7"/>
          </w:p>
        </w:tc>
        <w:tc>
          <w:tcPr>
            <w:tcW w:w="60" w:type="dxa"/>
            <w:tcBorders/>
            <w:vAlign w:val="center"/>
          </w:tcPr>
          <w:p>
            <w:pPr>
              <w:pStyle w:val="TableContents"/>
              <w:bidi w:val="0"/>
              <w:spacing w:before="0" w:after="283"/>
              <w:ind w:left="0" w:right="0" w:hanging="0"/>
              <w:jc w:val="left"/>
              <w:rPr/>
            </w:pPr>
            <w:r>
              <w:rPr/>
              <w:t> </w:t>
            </w:r>
            <w:bookmarkStart w:id="8" w:name=".amt.D3"/>
            <w:bookmarkEnd w:id="8"/>
          </w:p>
        </w:tc>
        <w:tc>
          <w:tcPr>
            <w:tcW w:w="2053"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Number of Pre-Funded Warrants to be Purchased </w:t>
            </w:r>
            <w:bookmarkStart w:id="9" w:name=".trail.D3"/>
            <w:bookmarkEnd w:id="9"/>
          </w:p>
        </w:tc>
        <w:tc>
          <w:tcPr>
            <w:tcW w:w="60" w:type="dxa"/>
            <w:tcBorders/>
            <w:vAlign w:val="center"/>
          </w:tcPr>
          <w:p>
            <w:pPr>
              <w:pStyle w:val="TableContents"/>
              <w:bidi w:val="0"/>
              <w:spacing w:before="0" w:after="283"/>
              <w:jc w:val="left"/>
              <w:rPr/>
            </w:pPr>
            <w:r>
              <w:rPr/>
              <w:t> </w:t>
            </w:r>
            <w:bookmarkStart w:id="10" w:name=".lead.D4"/>
            <w:bookmarkEnd w:id="10"/>
          </w:p>
        </w:tc>
        <w:tc>
          <w:tcPr>
            <w:tcW w:w="60" w:type="dxa"/>
            <w:tcBorders/>
            <w:vAlign w:val="center"/>
          </w:tcPr>
          <w:p>
            <w:pPr>
              <w:pStyle w:val="TableContents"/>
              <w:bidi w:val="0"/>
              <w:spacing w:before="0" w:after="283"/>
              <w:ind w:left="0" w:right="0" w:hanging="0"/>
              <w:jc w:val="left"/>
              <w:rPr/>
            </w:pPr>
            <w:r>
              <w:rPr/>
              <w:t> </w:t>
            </w:r>
            <w:bookmarkStart w:id="11" w:name=".amt.D4"/>
            <w:bookmarkEnd w:id="11"/>
          </w:p>
        </w:tc>
        <w:tc>
          <w:tcPr>
            <w:tcW w:w="1928"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Tranche 1 Warrants to be Purchased</w:t>
            </w:r>
            <w:bookmarkStart w:id="12" w:name=".trail.D4"/>
            <w:bookmarkEnd w:id="12"/>
          </w:p>
        </w:tc>
        <w:tc>
          <w:tcPr>
            <w:tcW w:w="60" w:type="dxa"/>
            <w:tcBorders/>
            <w:vAlign w:val="center"/>
          </w:tcPr>
          <w:p>
            <w:pPr>
              <w:pStyle w:val="TableContents"/>
              <w:bidi w:val="0"/>
              <w:spacing w:before="0" w:after="283"/>
              <w:jc w:val="left"/>
              <w:rPr/>
            </w:pPr>
            <w:r>
              <w:rPr/>
              <w:t> </w:t>
            </w:r>
            <w:bookmarkStart w:id="13" w:name=".lead.D5"/>
            <w:bookmarkEnd w:id="13"/>
          </w:p>
        </w:tc>
        <w:tc>
          <w:tcPr>
            <w:tcW w:w="60" w:type="dxa"/>
            <w:tcBorders/>
            <w:vAlign w:val="center"/>
          </w:tcPr>
          <w:p>
            <w:pPr>
              <w:pStyle w:val="TableContents"/>
              <w:bidi w:val="0"/>
              <w:spacing w:before="0" w:after="283"/>
              <w:ind w:left="0" w:right="0" w:hanging="0"/>
              <w:jc w:val="left"/>
              <w:rPr/>
            </w:pPr>
            <w:r>
              <w:rPr/>
              <w:t> </w:t>
            </w:r>
            <w:bookmarkStart w:id="14" w:name=".amt.D5"/>
            <w:bookmarkEnd w:id="14"/>
          </w:p>
        </w:tc>
        <w:tc>
          <w:tcPr>
            <w:tcW w:w="200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Tranche 2 Warrants to be Purchased</w:t>
            </w:r>
            <w:bookmarkStart w:id="15" w:name=".trail.D5"/>
            <w:bookmarkEnd w:id="15"/>
          </w:p>
        </w:tc>
        <w:tc>
          <w:tcPr>
            <w:tcW w:w="65" w:type="dxa"/>
            <w:tcBorders/>
            <w:vAlign w:val="center"/>
          </w:tcPr>
          <w:p>
            <w:pPr>
              <w:pStyle w:val="TableContents"/>
              <w:bidi w:val="0"/>
              <w:spacing w:before="0" w:after="283"/>
              <w:jc w:val="left"/>
              <w:rPr/>
            </w:pPr>
            <w:r>
              <w:rPr/>
              <w:t> </w:t>
            </w:r>
          </w:p>
        </w:tc>
      </w:tr>
      <w:tr>
        <w:trPr/>
        <w:tc>
          <w:tcPr>
            <w:tcW w:w="18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Jefferies LLC</w:t>
            </w:r>
            <w:bookmarkStart w:id="16" w:name=".lead.2"/>
            <w:bookmarkEnd w:id="16"/>
          </w:p>
        </w:tc>
        <w:tc>
          <w:tcPr>
            <w:tcW w:w="60" w:type="dxa"/>
            <w:tcBorders/>
            <w:shd w:fill="CCEEFF" w:val="clear"/>
            <w:vAlign w:val="center"/>
          </w:tcPr>
          <w:p>
            <w:pPr>
              <w:pStyle w:val="TableContents"/>
              <w:bidi w:val="0"/>
              <w:spacing w:before="0" w:after="283"/>
              <w:jc w:val="left"/>
              <w:rPr/>
            </w:pPr>
            <w:r>
              <w:rPr/>
              <w:t> </w:t>
            </w:r>
            <w:bookmarkStart w:id="17" w:name=".symb.2"/>
            <w:bookmarkEnd w:id="17"/>
          </w:p>
        </w:tc>
        <w:tc>
          <w:tcPr>
            <w:tcW w:w="110" w:type="dxa"/>
            <w:tcBorders/>
            <w:shd w:fill="CCEEFF" w:val="clear"/>
            <w:vAlign w:val="center"/>
          </w:tcPr>
          <w:p>
            <w:pPr>
              <w:pStyle w:val="TableContents"/>
              <w:bidi w:val="0"/>
              <w:spacing w:before="0" w:after="283"/>
              <w:ind w:left="0" w:right="0" w:hanging="0"/>
              <w:jc w:val="left"/>
              <w:rPr/>
            </w:pPr>
            <w:r>
              <w:rPr/>
              <w:t> </w:t>
            </w:r>
            <w:bookmarkStart w:id="18" w:name=".amt.2"/>
            <w:bookmarkEnd w:id="18"/>
          </w:p>
        </w:tc>
        <w:tc>
          <w:tcPr>
            <w:tcW w:w="1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8,255,946</w:t>
            </w:r>
            <w:bookmarkStart w:id="19" w:name=".trail.2"/>
            <w:bookmarkEnd w:id="19"/>
          </w:p>
        </w:tc>
        <w:tc>
          <w:tcPr>
            <w:tcW w:w="60" w:type="dxa"/>
            <w:tcBorders/>
            <w:shd w:fill="CCEEFF" w:val="clear"/>
            <w:vAlign w:val="center"/>
          </w:tcPr>
          <w:p>
            <w:pPr>
              <w:pStyle w:val="TableContents"/>
              <w:bidi w:val="0"/>
              <w:spacing w:before="0" w:after="283"/>
              <w:jc w:val="left"/>
              <w:rPr/>
            </w:pPr>
            <w:r>
              <w:rPr/>
              <w:t> </w:t>
            </w:r>
            <w:bookmarkStart w:id="20" w:name=".lead.3"/>
            <w:bookmarkEnd w:id="20"/>
          </w:p>
        </w:tc>
        <w:tc>
          <w:tcPr>
            <w:tcW w:w="60" w:type="dxa"/>
            <w:tcBorders/>
            <w:shd w:fill="CCEEFF" w:val="clear"/>
            <w:vAlign w:val="center"/>
          </w:tcPr>
          <w:p>
            <w:pPr>
              <w:pStyle w:val="TableContents"/>
              <w:bidi w:val="0"/>
              <w:spacing w:before="0" w:after="283"/>
              <w:jc w:val="left"/>
              <w:rPr/>
            </w:pPr>
            <w:r>
              <w:rPr/>
              <w:t> </w:t>
            </w:r>
            <w:bookmarkStart w:id="21" w:name=".symb.3"/>
            <w:bookmarkEnd w:id="21"/>
          </w:p>
        </w:tc>
        <w:tc>
          <w:tcPr>
            <w:tcW w:w="134" w:type="dxa"/>
            <w:tcBorders/>
            <w:shd w:fill="CCEEFF" w:val="clear"/>
            <w:vAlign w:val="center"/>
          </w:tcPr>
          <w:p>
            <w:pPr>
              <w:pStyle w:val="TableContents"/>
              <w:bidi w:val="0"/>
              <w:spacing w:before="0" w:after="283"/>
              <w:ind w:left="0" w:right="0" w:hanging="0"/>
              <w:jc w:val="left"/>
              <w:rPr/>
            </w:pPr>
            <w:r>
              <w:rPr/>
              <w:t> </w:t>
            </w:r>
            <w:bookmarkStart w:id="22" w:name=".amt.3"/>
            <w:bookmarkEnd w:id="22"/>
          </w:p>
        </w:tc>
        <w:tc>
          <w:tcPr>
            <w:tcW w:w="19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1,967,482</w:t>
            </w:r>
            <w:bookmarkStart w:id="23" w:name=".trail.3"/>
            <w:bookmarkEnd w:id="23"/>
          </w:p>
        </w:tc>
        <w:tc>
          <w:tcPr>
            <w:tcW w:w="60" w:type="dxa"/>
            <w:tcBorders/>
            <w:shd w:fill="CCEEFF" w:val="clear"/>
            <w:vAlign w:val="center"/>
          </w:tcPr>
          <w:p>
            <w:pPr>
              <w:pStyle w:val="TableContents"/>
              <w:bidi w:val="0"/>
              <w:spacing w:before="0" w:after="283"/>
              <w:jc w:val="left"/>
              <w:rPr/>
            </w:pPr>
            <w:r>
              <w:rPr/>
              <w:t> </w:t>
            </w:r>
            <w:bookmarkStart w:id="24" w:name=".lead.4"/>
            <w:bookmarkEnd w:id="24"/>
          </w:p>
        </w:tc>
        <w:tc>
          <w:tcPr>
            <w:tcW w:w="60" w:type="dxa"/>
            <w:tcBorders/>
            <w:shd w:fill="CCEEFF" w:val="clear"/>
            <w:vAlign w:val="center"/>
          </w:tcPr>
          <w:p>
            <w:pPr>
              <w:pStyle w:val="TableContents"/>
              <w:bidi w:val="0"/>
              <w:spacing w:before="0" w:after="283"/>
              <w:jc w:val="left"/>
              <w:rPr/>
            </w:pPr>
            <w:r>
              <w:rPr/>
              <w:t> </w:t>
            </w:r>
            <w:bookmarkStart w:id="25" w:name=".symb.4"/>
            <w:bookmarkEnd w:id="25"/>
          </w:p>
        </w:tc>
        <w:tc>
          <w:tcPr>
            <w:tcW w:w="127" w:type="dxa"/>
            <w:tcBorders/>
            <w:shd w:fill="CCEEFF" w:val="clear"/>
            <w:vAlign w:val="center"/>
          </w:tcPr>
          <w:p>
            <w:pPr>
              <w:pStyle w:val="TableContents"/>
              <w:bidi w:val="0"/>
              <w:spacing w:before="0" w:after="283"/>
              <w:ind w:left="0" w:right="0" w:hanging="0"/>
              <w:jc w:val="left"/>
              <w:rPr/>
            </w:pPr>
            <w:r>
              <w:rPr/>
              <w:t> </w:t>
            </w:r>
            <w:bookmarkStart w:id="26" w:name=".amt.4"/>
            <w:bookmarkEnd w:id="26"/>
          </w:p>
        </w:tc>
        <w:tc>
          <w:tcPr>
            <w:tcW w:w="18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5,111,712</w:t>
            </w:r>
            <w:bookmarkStart w:id="27" w:name=".trail.4"/>
            <w:bookmarkEnd w:id="27"/>
          </w:p>
        </w:tc>
        <w:tc>
          <w:tcPr>
            <w:tcW w:w="60" w:type="dxa"/>
            <w:tcBorders/>
            <w:shd w:fill="CCEEFF" w:val="clear"/>
            <w:vAlign w:val="center"/>
          </w:tcPr>
          <w:p>
            <w:pPr>
              <w:pStyle w:val="TableContents"/>
              <w:bidi w:val="0"/>
              <w:spacing w:before="0" w:after="283"/>
              <w:jc w:val="left"/>
              <w:rPr/>
            </w:pPr>
            <w:r>
              <w:rPr/>
              <w:t> </w:t>
            </w:r>
            <w:bookmarkStart w:id="28" w:name=".lead.5"/>
            <w:bookmarkEnd w:id="28"/>
          </w:p>
        </w:tc>
        <w:tc>
          <w:tcPr>
            <w:tcW w:w="60" w:type="dxa"/>
            <w:tcBorders/>
            <w:shd w:fill="CCEEFF" w:val="clear"/>
            <w:vAlign w:val="center"/>
          </w:tcPr>
          <w:p>
            <w:pPr>
              <w:pStyle w:val="TableContents"/>
              <w:bidi w:val="0"/>
              <w:spacing w:before="0" w:after="283"/>
              <w:jc w:val="left"/>
              <w:rPr/>
            </w:pPr>
            <w:r>
              <w:rPr/>
              <w:t> </w:t>
            </w:r>
            <w:bookmarkStart w:id="29" w:name=".symb.5"/>
            <w:bookmarkEnd w:id="29"/>
          </w:p>
        </w:tc>
        <w:tc>
          <w:tcPr>
            <w:tcW w:w="118" w:type="dxa"/>
            <w:tcBorders/>
            <w:shd w:fill="CCEEFF" w:val="clear"/>
            <w:vAlign w:val="center"/>
          </w:tcPr>
          <w:p>
            <w:pPr>
              <w:pStyle w:val="TableContents"/>
              <w:bidi w:val="0"/>
              <w:spacing w:before="0" w:after="283"/>
              <w:ind w:left="0" w:right="0" w:hanging="0"/>
              <w:jc w:val="left"/>
              <w:rPr/>
            </w:pPr>
            <w:r>
              <w:rPr/>
              <w:t> </w:t>
            </w:r>
            <w:bookmarkStart w:id="30" w:name=".amt.5"/>
            <w:bookmarkEnd w:id="30"/>
          </w:p>
        </w:tc>
        <w:tc>
          <w:tcPr>
            <w:tcW w:w="18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6,195,797</w:t>
            </w:r>
            <w:bookmarkStart w:id="31" w:name=".trail.5"/>
            <w:bookmarkEnd w:id="31"/>
          </w:p>
        </w:tc>
        <w:tc>
          <w:tcPr>
            <w:tcW w:w="65" w:type="dxa"/>
            <w:tcBorders/>
            <w:shd w:fill="CCEEFF" w:val="clear"/>
            <w:vAlign w:val="center"/>
          </w:tcPr>
          <w:p>
            <w:pPr>
              <w:pStyle w:val="TableContents"/>
              <w:bidi w:val="0"/>
              <w:spacing w:before="0" w:after="283"/>
              <w:jc w:val="left"/>
              <w:rPr/>
            </w:pPr>
            <w:r>
              <w:rPr/>
              <w:t> </w:t>
            </w:r>
          </w:p>
        </w:tc>
      </w:tr>
      <w:tr>
        <w:trPr/>
        <w:tc>
          <w:tcPr>
            <w:tcW w:w="18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Stifel, Nicolaus &amp; Company, Incorporated</w:t>
            </w:r>
            <w:bookmarkStart w:id="32" w:name=".lead.21"/>
            <w:bookmarkStart w:id="33" w:name=".lead.22"/>
            <w:bookmarkEnd w:id="32"/>
            <w:bookmarkEnd w:id="33"/>
          </w:p>
        </w:tc>
        <w:tc>
          <w:tcPr>
            <w:tcW w:w="60" w:type="dxa"/>
            <w:tcBorders/>
            <w:shd w:fill="FFFFFF" w:val="clear"/>
            <w:vAlign w:val="center"/>
          </w:tcPr>
          <w:p>
            <w:pPr>
              <w:pStyle w:val="TableContents"/>
              <w:bidi w:val="0"/>
              <w:spacing w:before="0" w:after="283"/>
              <w:jc w:val="left"/>
              <w:rPr/>
            </w:pPr>
            <w:r>
              <w:rPr/>
              <w:t> </w:t>
            </w:r>
            <w:bookmarkStart w:id="34" w:name=".symb.21"/>
            <w:bookmarkStart w:id="35" w:name=".symb.22"/>
            <w:bookmarkEnd w:id="34"/>
            <w:bookmarkEnd w:id="35"/>
          </w:p>
        </w:tc>
        <w:tc>
          <w:tcPr>
            <w:tcW w:w="110" w:type="dxa"/>
            <w:tcBorders/>
            <w:shd w:fill="FFFFFF" w:val="clear"/>
            <w:vAlign w:val="center"/>
          </w:tcPr>
          <w:p>
            <w:pPr>
              <w:pStyle w:val="TableContents"/>
              <w:bidi w:val="0"/>
              <w:spacing w:before="0" w:after="283"/>
              <w:ind w:left="0" w:right="0" w:hanging="0"/>
              <w:jc w:val="left"/>
              <w:rPr/>
            </w:pPr>
            <w:r>
              <w:rPr/>
              <w:t> </w:t>
            </w:r>
            <w:bookmarkStart w:id="36" w:name=".amt.21"/>
            <w:bookmarkStart w:id="37" w:name=".amt.22"/>
            <w:bookmarkEnd w:id="36"/>
            <w:bookmarkEnd w:id="37"/>
          </w:p>
        </w:tc>
        <w:tc>
          <w:tcPr>
            <w:tcW w:w="17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4,127,973</w:t>
            </w:r>
            <w:bookmarkStart w:id="38" w:name=".trail.21"/>
            <w:bookmarkStart w:id="39" w:name=".trail.22"/>
            <w:bookmarkEnd w:id="38"/>
            <w:bookmarkEnd w:id="39"/>
          </w:p>
        </w:tc>
        <w:tc>
          <w:tcPr>
            <w:tcW w:w="60" w:type="dxa"/>
            <w:tcBorders/>
            <w:shd w:fill="FFFFFF" w:val="clear"/>
            <w:vAlign w:val="center"/>
          </w:tcPr>
          <w:p>
            <w:pPr>
              <w:pStyle w:val="TableContents"/>
              <w:bidi w:val="0"/>
              <w:spacing w:before="0" w:after="283"/>
              <w:jc w:val="left"/>
              <w:rPr/>
            </w:pPr>
            <w:r>
              <w:rPr/>
              <w:t> </w:t>
            </w:r>
            <w:bookmarkStart w:id="40" w:name=".lead.31"/>
            <w:bookmarkStart w:id="41" w:name=".lead.32"/>
            <w:bookmarkEnd w:id="40"/>
            <w:bookmarkEnd w:id="41"/>
          </w:p>
        </w:tc>
        <w:tc>
          <w:tcPr>
            <w:tcW w:w="60" w:type="dxa"/>
            <w:tcBorders/>
            <w:shd w:fill="FFFFFF" w:val="clear"/>
            <w:vAlign w:val="center"/>
          </w:tcPr>
          <w:p>
            <w:pPr>
              <w:pStyle w:val="TableContents"/>
              <w:bidi w:val="0"/>
              <w:spacing w:before="0" w:after="283"/>
              <w:jc w:val="left"/>
              <w:rPr/>
            </w:pPr>
            <w:r>
              <w:rPr/>
              <w:t> </w:t>
            </w:r>
            <w:bookmarkStart w:id="42" w:name=".symb.31"/>
            <w:bookmarkStart w:id="43" w:name=".symb.32"/>
            <w:bookmarkEnd w:id="42"/>
            <w:bookmarkEnd w:id="43"/>
          </w:p>
        </w:tc>
        <w:tc>
          <w:tcPr>
            <w:tcW w:w="134" w:type="dxa"/>
            <w:tcBorders/>
            <w:shd w:fill="FFFFFF" w:val="clear"/>
            <w:vAlign w:val="center"/>
          </w:tcPr>
          <w:p>
            <w:pPr>
              <w:pStyle w:val="TableContents"/>
              <w:bidi w:val="0"/>
              <w:spacing w:before="0" w:after="283"/>
              <w:ind w:left="0" w:right="0" w:hanging="0"/>
              <w:jc w:val="left"/>
              <w:rPr/>
            </w:pPr>
            <w:r>
              <w:rPr/>
              <w:t> </w:t>
            </w:r>
            <w:bookmarkStart w:id="44" w:name=".amt.31"/>
            <w:bookmarkStart w:id="45" w:name=".amt.32"/>
            <w:bookmarkEnd w:id="44"/>
            <w:bookmarkEnd w:id="45"/>
          </w:p>
        </w:tc>
        <w:tc>
          <w:tcPr>
            <w:tcW w:w="19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983,741</w:t>
            </w:r>
            <w:bookmarkStart w:id="46" w:name=".trail.31"/>
            <w:bookmarkStart w:id="47" w:name=".trail.32"/>
            <w:bookmarkEnd w:id="46"/>
            <w:bookmarkEnd w:id="47"/>
          </w:p>
        </w:tc>
        <w:tc>
          <w:tcPr>
            <w:tcW w:w="60" w:type="dxa"/>
            <w:tcBorders/>
            <w:shd w:fill="FFFFFF" w:val="clear"/>
            <w:vAlign w:val="center"/>
          </w:tcPr>
          <w:p>
            <w:pPr>
              <w:pStyle w:val="TableContents"/>
              <w:bidi w:val="0"/>
              <w:spacing w:before="0" w:after="283"/>
              <w:jc w:val="left"/>
              <w:rPr/>
            </w:pPr>
            <w:r>
              <w:rPr/>
              <w:t> </w:t>
            </w:r>
            <w:bookmarkStart w:id="48" w:name=".lead.41"/>
            <w:bookmarkStart w:id="49" w:name=".lead.42"/>
            <w:bookmarkEnd w:id="48"/>
            <w:bookmarkEnd w:id="49"/>
          </w:p>
        </w:tc>
        <w:tc>
          <w:tcPr>
            <w:tcW w:w="60" w:type="dxa"/>
            <w:tcBorders/>
            <w:shd w:fill="FFFFFF" w:val="clear"/>
            <w:vAlign w:val="center"/>
          </w:tcPr>
          <w:p>
            <w:pPr>
              <w:pStyle w:val="TableContents"/>
              <w:bidi w:val="0"/>
              <w:spacing w:before="0" w:after="283"/>
              <w:jc w:val="left"/>
              <w:rPr/>
            </w:pPr>
            <w:r>
              <w:rPr/>
              <w:t> </w:t>
            </w:r>
            <w:bookmarkStart w:id="50" w:name=".symb.41"/>
            <w:bookmarkStart w:id="51" w:name=".symb.42"/>
            <w:bookmarkEnd w:id="50"/>
            <w:bookmarkEnd w:id="51"/>
          </w:p>
        </w:tc>
        <w:tc>
          <w:tcPr>
            <w:tcW w:w="127" w:type="dxa"/>
            <w:tcBorders/>
            <w:shd w:fill="FFFFFF" w:val="clear"/>
            <w:vAlign w:val="center"/>
          </w:tcPr>
          <w:p>
            <w:pPr>
              <w:pStyle w:val="TableContents"/>
              <w:bidi w:val="0"/>
              <w:spacing w:before="0" w:after="283"/>
              <w:ind w:left="0" w:right="0" w:hanging="0"/>
              <w:jc w:val="left"/>
              <w:rPr/>
            </w:pPr>
            <w:r>
              <w:rPr/>
              <w:t> </w:t>
            </w:r>
            <w:bookmarkStart w:id="52" w:name=".amt.41"/>
            <w:bookmarkStart w:id="53" w:name=".amt.42"/>
            <w:bookmarkEnd w:id="52"/>
            <w:bookmarkEnd w:id="53"/>
          </w:p>
        </w:tc>
        <w:tc>
          <w:tcPr>
            <w:tcW w:w="18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2,555,856</w:t>
            </w:r>
            <w:bookmarkStart w:id="54" w:name=".trail.41"/>
            <w:bookmarkStart w:id="55" w:name=".trail.42"/>
            <w:bookmarkEnd w:id="54"/>
            <w:bookmarkEnd w:id="55"/>
          </w:p>
        </w:tc>
        <w:tc>
          <w:tcPr>
            <w:tcW w:w="60" w:type="dxa"/>
            <w:tcBorders/>
            <w:shd w:fill="FFFFFF" w:val="clear"/>
            <w:vAlign w:val="center"/>
          </w:tcPr>
          <w:p>
            <w:pPr>
              <w:pStyle w:val="TableContents"/>
              <w:bidi w:val="0"/>
              <w:spacing w:before="0" w:after="283"/>
              <w:jc w:val="left"/>
              <w:rPr/>
            </w:pPr>
            <w:r>
              <w:rPr/>
              <w:t> </w:t>
            </w:r>
            <w:bookmarkStart w:id="56" w:name=".lead.51"/>
            <w:bookmarkStart w:id="57" w:name=".lead.52"/>
            <w:bookmarkEnd w:id="56"/>
            <w:bookmarkEnd w:id="57"/>
          </w:p>
        </w:tc>
        <w:tc>
          <w:tcPr>
            <w:tcW w:w="60" w:type="dxa"/>
            <w:tcBorders/>
            <w:shd w:fill="FFFFFF" w:val="clear"/>
            <w:vAlign w:val="center"/>
          </w:tcPr>
          <w:p>
            <w:pPr>
              <w:pStyle w:val="TableContents"/>
              <w:bidi w:val="0"/>
              <w:spacing w:before="0" w:after="283"/>
              <w:jc w:val="left"/>
              <w:rPr/>
            </w:pPr>
            <w:r>
              <w:rPr/>
              <w:t> </w:t>
            </w:r>
            <w:bookmarkStart w:id="58" w:name=".symb.51"/>
            <w:bookmarkStart w:id="59" w:name=".symb.52"/>
            <w:bookmarkEnd w:id="58"/>
            <w:bookmarkEnd w:id="59"/>
          </w:p>
        </w:tc>
        <w:tc>
          <w:tcPr>
            <w:tcW w:w="118" w:type="dxa"/>
            <w:tcBorders/>
            <w:shd w:fill="FFFFFF" w:val="clear"/>
            <w:vAlign w:val="center"/>
          </w:tcPr>
          <w:p>
            <w:pPr>
              <w:pStyle w:val="TableContents"/>
              <w:bidi w:val="0"/>
              <w:spacing w:before="0" w:after="283"/>
              <w:ind w:left="0" w:right="0" w:hanging="0"/>
              <w:jc w:val="left"/>
              <w:rPr/>
            </w:pPr>
            <w:r>
              <w:rPr/>
              <w:t> </w:t>
            </w:r>
            <w:bookmarkStart w:id="60" w:name=".amt.51"/>
            <w:bookmarkStart w:id="61" w:name=".amt.52"/>
            <w:bookmarkEnd w:id="60"/>
            <w:bookmarkEnd w:id="61"/>
          </w:p>
        </w:tc>
        <w:tc>
          <w:tcPr>
            <w:tcW w:w="1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3,097,899</w:t>
            </w:r>
            <w:bookmarkStart w:id="62" w:name=".trail.51"/>
            <w:bookmarkStart w:id="63" w:name=".trail.52"/>
            <w:bookmarkEnd w:id="62"/>
            <w:bookmarkEnd w:id="63"/>
          </w:p>
        </w:tc>
        <w:tc>
          <w:tcPr>
            <w:tcW w:w="65" w:type="dxa"/>
            <w:tcBorders/>
            <w:shd w:fill="FFFFFF" w:val="clear"/>
            <w:vAlign w:val="center"/>
          </w:tcPr>
          <w:p>
            <w:pPr>
              <w:pStyle w:val="TableContents"/>
              <w:bidi w:val="0"/>
              <w:spacing w:before="0" w:after="283"/>
              <w:jc w:val="left"/>
              <w:rPr/>
            </w:pPr>
            <w:r>
              <w:rPr/>
              <w:t> </w:t>
            </w:r>
          </w:p>
        </w:tc>
      </w:tr>
      <w:tr>
        <w:trPr/>
        <w:tc>
          <w:tcPr>
            <w:tcW w:w="18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Blair &amp; Company, L.L.C.</w:t>
            </w:r>
            <w:bookmarkStart w:id="64" w:name=".lead.23"/>
            <w:bookmarkStart w:id="65" w:name=".lead.24"/>
            <w:bookmarkEnd w:id="64"/>
            <w:bookmarkEnd w:id="65"/>
          </w:p>
        </w:tc>
        <w:tc>
          <w:tcPr>
            <w:tcW w:w="60" w:type="dxa"/>
            <w:tcBorders/>
            <w:shd w:fill="CCEEFF" w:val="clear"/>
            <w:vAlign w:val="center"/>
          </w:tcPr>
          <w:p>
            <w:pPr>
              <w:pStyle w:val="TableContents"/>
              <w:bidi w:val="0"/>
              <w:spacing w:before="0" w:after="283"/>
              <w:jc w:val="left"/>
              <w:rPr/>
            </w:pPr>
            <w:r>
              <w:rPr/>
              <w:t> </w:t>
            </w:r>
            <w:bookmarkStart w:id="66" w:name=".symb.23"/>
            <w:bookmarkStart w:id="67" w:name=".symb.24"/>
            <w:bookmarkEnd w:id="66"/>
            <w:bookmarkEnd w:id="67"/>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 w:name=".amt.23"/>
            <w:bookmarkStart w:id="69" w:name=".amt.24"/>
            <w:bookmarkEnd w:id="68"/>
            <w:bookmarkEnd w:id="69"/>
          </w:p>
        </w:tc>
        <w:tc>
          <w:tcPr>
            <w:tcW w:w="1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2,626,891</w:t>
            </w:r>
            <w:bookmarkStart w:id="70" w:name=".trail.23"/>
            <w:bookmarkStart w:id="71" w:name=".trail.24"/>
            <w:bookmarkEnd w:id="70"/>
            <w:bookmarkEnd w:id="71"/>
          </w:p>
        </w:tc>
        <w:tc>
          <w:tcPr>
            <w:tcW w:w="60" w:type="dxa"/>
            <w:tcBorders/>
            <w:shd w:fill="CCEEFF" w:val="clear"/>
            <w:vAlign w:val="center"/>
          </w:tcPr>
          <w:p>
            <w:pPr>
              <w:pStyle w:val="TableContents"/>
              <w:bidi w:val="0"/>
              <w:spacing w:before="0" w:after="283"/>
              <w:jc w:val="left"/>
              <w:rPr/>
            </w:pPr>
            <w:r>
              <w:rPr/>
              <w:t> </w:t>
            </w:r>
            <w:bookmarkStart w:id="72" w:name=".lead.33"/>
            <w:bookmarkStart w:id="73" w:name=".lead.34"/>
            <w:bookmarkEnd w:id="72"/>
            <w:bookmarkEnd w:id="73"/>
          </w:p>
        </w:tc>
        <w:tc>
          <w:tcPr>
            <w:tcW w:w="60" w:type="dxa"/>
            <w:tcBorders/>
            <w:shd w:fill="CCEEFF" w:val="clear"/>
            <w:vAlign w:val="center"/>
          </w:tcPr>
          <w:p>
            <w:pPr>
              <w:pStyle w:val="TableContents"/>
              <w:bidi w:val="0"/>
              <w:spacing w:before="0" w:after="283"/>
              <w:jc w:val="left"/>
              <w:rPr/>
            </w:pPr>
            <w:r>
              <w:rPr/>
              <w:t> </w:t>
            </w:r>
            <w:bookmarkStart w:id="74" w:name=".symb.33"/>
            <w:bookmarkStart w:id="75" w:name=".symb.34"/>
            <w:bookmarkEnd w:id="74"/>
            <w:bookmarkEnd w:id="75"/>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 w:name=".amt.33"/>
            <w:bookmarkStart w:id="77" w:name=".amt.34"/>
            <w:bookmarkEnd w:id="76"/>
            <w:bookmarkEnd w:id="77"/>
          </w:p>
        </w:tc>
        <w:tc>
          <w:tcPr>
            <w:tcW w:w="1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626,017</w:t>
            </w:r>
            <w:bookmarkStart w:id="78" w:name=".trail.33"/>
            <w:bookmarkStart w:id="79" w:name=".trail.34"/>
            <w:bookmarkEnd w:id="78"/>
            <w:bookmarkEnd w:id="79"/>
          </w:p>
        </w:tc>
        <w:tc>
          <w:tcPr>
            <w:tcW w:w="60" w:type="dxa"/>
            <w:tcBorders/>
            <w:shd w:fill="CCEEFF" w:val="clear"/>
            <w:vAlign w:val="center"/>
          </w:tcPr>
          <w:p>
            <w:pPr>
              <w:pStyle w:val="TableContents"/>
              <w:bidi w:val="0"/>
              <w:spacing w:before="0" w:after="283"/>
              <w:jc w:val="left"/>
              <w:rPr/>
            </w:pPr>
            <w:r>
              <w:rPr/>
              <w:t> </w:t>
            </w:r>
            <w:bookmarkStart w:id="80" w:name=".lead.43"/>
            <w:bookmarkStart w:id="81" w:name=".lead.44"/>
            <w:bookmarkEnd w:id="80"/>
            <w:bookmarkEnd w:id="81"/>
          </w:p>
        </w:tc>
        <w:tc>
          <w:tcPr>
            <w:tcW w:w="60" w:type="dxa"/>
            <w:tcBorders/>
            <w:shd w:fill="CCEEFF" w:val="clear"/>
            <w:vAlign w:val="center"/>
          </w:tcPr>
          <w:p>
            <w:pPr>
              <w:pStyle w:val="TableContents"/>
              <w:bidi w:val="0"/>
              <w:spacing w:before="0" w:after="283"/>
              <w:jc w:val="left"/>
              <w:rPr/>
            </w:pPr>
            <w:r>
              <w:rPr/>
              <w:t> </w:t>
            </w:r>
            <w:bookmarkStart w:id="82" w:name=".symb.43"/>
            <w:bookmarkStart w:id="83" w:name=".symb.44"/>
            <w:bookmarkEnd w:id="82"/>
            <w:bookmarkEnd w:id="83"/>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 w:name=".amt.43"/>
            <w:bookmarkStart w:id="85" w:name=".amt.44"/>
            <w:bookmarkEnd w:id="84"/>
            <w:bookmarkEnd w:id="85"/>
          </w:p>
        </w:tc>
        <w:tc>
          <w:tcPr>
            <w:tcW w:w="1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1,626,454</w:t>
            </w:r>
            <w:bookmarkStart w:id="86" w:name=".trail.43"/>
            <w:bookmarkStart w:id="87" w:name=".trail.44"/>
            <w:bookmarkEnd w:id="86"/>
            <w:bookmarkEnd w:id="87"/>
          </w:p>
        </w:tc>
        <w:tc>
          <w:tcPr>
            <w:tcW w:w="60" w:type="dxa"/>
            <w:tcBorders/>
            <w:shd w:fill="CCEEFF" w:val="clear"/>
            <w:vAlign w:val="center"/>
          </w:tcPr>
          <w:p>
            <w:pPr>
              <w:pStyle w:val="TableContents"/>
              <w:bidi w:val="0"/>
              <w:spacing w:before="0" w:after="283"/>
              <w:jc w:val="left"/>
              <w:rPr/>
            </w:pPr>
            <w:r>
              <w:rPr/>
              <w:t> </w:t>
            </w:r>
            <w:bookmarkStart w:id="88" w:name=".lead.53"/>
            <w:bookmarkStart w:id="89" w:name=".lead.54"/>
            <w:bookmarkEnd w:id="88"/>
            <w:bookmarkEnd w:id="89"/>
          </w:p>
        </w:tc>
        <w:tc>
          <w:tcPr>
            <w:tcW w:w="60" w:type="dxa"/>
            <w:tcBorders/>
            <w:shd w:fill="CCEEFF" w:val="clear"/>
            <w:vAlign w:val="center"/>
          </w:tcPr>
          <w:p>
            <w:pPr>
              <w:pStyle w:val="TableContents"/>
              <w:bidi w:val="0"/>
              <w:spacing w:before="0" w:after="283"/>
              <w:jc w:val="left"/>
              <w:rPr/>
            </w:pPr>
            <w:r>
              <w:rPr/>
              <w:t> </w:t>
            </w:r>
            <w:bookmarkStart w:id="90" w:name=".symb.53"/>
            <w:bookmarkStart w:id="91" w:name=".symb.54"/>
            <w:bookmarkEnd w:id="90"/>
            <w:bookmarkEnd w:id="91"/>
          </w:p>
        </w:tc>
        <w:tc>
          <w:tcPr>
            <w:tcW w:w="1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 w:name=".amt.53"/>
            <w:bookmarkStart w:id="93" w:name=".amt.54"/>
            <w:bookmarkEnd w:id="92"/>
            <w:bookmarkEnd w:id="93"/>
          </w:p>
        </w:tc>
        <w:tc>
          <w:tcPr>
            <w:tcW w:w="1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1,971,390</w:t>
            </w:r>
            <w:bookmarkStart w:id="94" w:name=".trail.53"/>
            <w:bookmarkStart w:id="95" w:name=".trail.54"/>
            <w:bookmarkEnd w:id="94"/>
            <w:bookmarkEnd w:id="95"/>
          </w:p>
        </w:tc>
        <w:tc>
          <w:tcPr>
            <w:tcW w:w="65" w:type="dxa"/>
            <w:tcBorders/>
            <w:shd w:fill="CCEEFF" w:val="clear"/>
            <w:vAlign w:val="center"/>
          </w:tcPr>
          <w:p>
            <w:pPr>
              <w:pStyle w:val="TableContents"/>
              <w:bidi w:val="0"/>
              <w:spacing w:before="0" w:after="283"/>
              <w:jc w:val="left"/>
              <w:rPr/>
            </w:pPr>
            <w:r>
              <w:rPr/>
              <w:t> </w:t>
            </w:r>
          </w:p>
        </w:tc>
      </w:tr>
      <w:tr>
        <w:trPr/>
        <w:tc>
          <w:tcPr>
            <w:tcW w:w="187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96" w:name=".lead.25"/>
            <w:bookmarkStart w:id="97" w:name=".lead.26"/>
            <w:bookmarkEnd w:id="96"/>
            <w:bookmarkEnd w:id="97"/>
          </w:p>
        </w:tc>
        <w:tc>
          <w:tcPr>
            <w:tcW w:w="60" w:type="dxa"/>
            <w:tcBorders/>
            <w:shd w:fill="FFFFFF" w:val="clear"/>
            <w:vAlign w:val="center"/>
          </w:tcPr>
          <w:p>
            <w:pPr>
              <w:pStyle w:val="TableContents"/>
              <w:bidi w:val="0"/>
              <w:spacing w:before="0" w:after="283"/>
              <w:jc w:val="left"/>
              <w:rPr/>
            </w:pPr>
            <w:r>
              <w:rPr/>
              <w:t> </w:t>
            </w:r>
            <w:bookmarkStart w:id="98" w:name=".symb.25"/>
            <w:bookmarkStart w:id="99" w:name=".symb.26"/>
            <w:bookmarkEnd w:id="98"/>
            <w:bookmarkEnd w:id="99"/>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 w:name=".amt.25"/>
            <w:bookmarkStart w:id="101" w:name=".amt.26"/>
            <w:bookmarkEnd w:id="100"/>
            <w:bookmarkEnd w:id="101"/>
          </w:p>
        </w:tc>
        <w:tc>
          <w:tcPr>
            <w:tcW w:w="1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15,010,810</w:t>
            </w:r>
            <w:bookmarkStart w:id="102" w:name=".trail.25"/>
            <w:bookmarkStart w:id="103" w:name=".trail.26"/>
            <w:bookmarkEnd w:id="102"/>
            <w:bookmarkEnd w:id="103"/>
          </w:p>
        </w:tc>
        <w:tc>
          <w:tcPr>
            <w:tcW w:w="60" w:type="dxa"/>
            <w:tcBorders/>
            <w:shd w:fill="FFFFFF" w:val="clear"/>
            <w:vAlign w:val="center"/>
          </w:tcPr>
          <w:p>
            <w:pPr>
              <w:pStyle w:val="TableContents"/>
              <w:bidi w:val="0"/>
              <w:spacing w:before="0" w:after="283"/>
              <w:jc w:val="left"/>
              <w:rPr/>
            </w:pPr>
            <w:r>
              <w:rPr/>
              <w:t> </w:t>
            </w:r>
            <w:bookmarkStart w:id="104" w:name=".lead.35"/>
            <w:bookmarkStart w:id="105" w:name=".lead.36"/>
            <w:bookmarkEnd w:id="104"/>
            <w:bookmarkEnd w:id="105"/>
          </w:p>
        </w:tc>
        <w:tc>
          <w:tcPr>
            <w:tcW w:w="60" w:type="dxa"/>
            <w:tcBorders/>
            <w:shd w:fill="FFFFFF" w:val="clear"/>
            <w:vAlign w:val="center"/>
          </w:tcPr>
          <w:p>
            <w:pPr>
              <w:pStyle w:val="TableContents"/>
              <w:bidi w:val="0"/>
              <w:spacing w:before="0" w:after="283"/>
              <w:jc w:val="left"/>
              <w:rPr/>
            </w:pPr>
            <w:r>
              <w:rPr/>
              <w:t> </w:t>
            </w:r>
            <w:bookmarkStart w:id="106" w:name=".symb.35"/>
            <w:bookmarkStart w:id="107" w:name=".symb.36"/>
            <w:bookmarkEnd w:id="106"/>
            <w:bookmarkEnd w:id="107"/>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8" w:name=".amt.35"/>
            <w:bookmarkStart w:id="109" w:name=".amt.36"/>
            <w:bookmarkEnd w:id="108"/>
            <w:bookmarkEnd w:id="109"/>
          </w:p>
        </w:tc>
        <w:tc>
          <w:tcPr>
            <w:tcW w:w="1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3,577,240</w:t>
            </w:r>
            <w:bookmarkStart w:id="110" w:name=".trail.35"/>
            <w:bookmarkStart w:id="111" w:name=".trail.36"/>
            <w:bookmarkEnd w:id="110"/>
            <w:bookmarkEnd w:id="111"/>
          </w:p>
        </w:tc>
        <w:tc>
          <w:tcPr>
            <w:tcW w:w="60" w:type="dxa"/>
            <w:tcBorders/>
            <w:shd w:fill="FFFFFF" w:val="clear"/>
            <w:vAlign w:val="center"/>
          </w:tcPr>
          <w:p>
            <w:pPr>
              <w:pStyle w:val="TableContents"/>
              <w:bidi w:val="0"/>
              <w:spacing w:before="0" w:after="283"/>
              <w:jc w:val="left"/>
              <w:rPr/>
            </w:pPr>
            <w:r>
              <w:rPr/>
              <w:t> </w:t>
            </w:r>
            <w:bookmarkStart w:id="112" w:name=".lead.45"/>
            <w:bookmarkStart w:id="113" w:name=".lead.46"/>
            <w:bookmarkEnd w:id="112"/>
            <w:bookmarkEnd w:id="113"/>
          </w:p>
        </w:tc>
        <w:tc>
          <w:tcPr>
            <w:tcW w:w="60" w:type="dxa"/>
            <w:tcBorders/>
            <w:shd w:fill="FFFFFF" w:val="clear"/>
            <w:vAlign w:val="center"/>
          </w:tcPr>
          <w:p>
            <w:pPr>
              <w:pStyle w:val="TableContents"/>
              <w:bidi w:val="0"/>
              <w:spacing w:before="0" w:after="283"/>
              <w:jc w:val="left"/>
              <w:rPr/>
            </w:pPr>
            <w:r>
              <w:rPr/>
              <w:t> </w:t>
            </w:r>
            <w:bookmarkStart w:id="114" w:name=".symb.45"/>
            <w:bookmarkStart w:id="115" w:name=".symb.46"/>
            <w:bookmarkEnd w:id="114"/>
            <w:bookmarkEnd w:id="115"/>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6" w:name=".amt.45"/>
            <w:bookmarkStart w:id="117" w:name=".amt.46"/>
            <w:bookmarkEnd w:id="116"/>
            <w:bookmarkEnd w:id="117"/>
          </w:p>
        </w:tc>
        <w:tc>
          <w:tcPr>
            <w:tcW w:w="1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9,294,022</w:t>
            </w:r>
            <w:bookmarkStart w:id="118" w:name=".trail.45"/>
            <w:bookmarkStart w:id="119" w:name=".trail.46"/>
            <w:bookmarkEnd w:id="118"/>
            <w:bookmarkEnd w:id="119"/>
          </w:p>
        </w:tc>
        <w:tc>
          <w:tcPr>
            <w:tcW w:w="60" w:type="dxa"/>
            <w:tcBorders/>
            <w:shd w:fill="FFFFFF" w:val="clear"/>
            <w:vAlign w:val="center"/>
          </w:tcPr>
          <w:p>
            <w:pPr>
              <w:pStyle w:val="TableContents"/>
              <w:bidi w:val="0"/>
              <w:spacing w:before="0" w:after="283"/>
              <w:jc w:val="left"/>
              <w:rPr/>
            </w:pPr>
            <w:r>
              <w:rPr/>
              <w:t> </w:t>
            </w:r>
            <w:bookmarkStart w:id="120" w:name=".lead.55"/>
            <w:bookmarkStart w:id="121" w:name=".lead.56"/>
            <w:bookmarkEnd w:id="120"/>
            <w:bookmarkEnd w:id="121"/>
          </w:p>
        </w:tc>
        <w:tc>
          <w:tcPr>
            <w:tcW w:w="60" w:type="dxa"/>
            <w:tcBorders/>
            <w:shd w:fill="FFFFFF" w:val="clear"/>
            <w:vAlign w:val="center"/>
          </w:tcPr>
          <w:p>
            <w:pPr>
              <w:pStyle w:val="TableContents"/>
              <w:bidi w:val="0"/>
              <w:spacing w:before="0" w:after="283"/>
              <w:jc w:val="left"/>
              <w:rPr/>
            </w:pPr>
            <w:r>
              <w:rPr/>
              <w:t> </w:t>
            </w:r>
            <w:bookmarkStart w:id="122" w:name=".symb.55"/>
            <w:bookmarkStart w:id="123" w:name=".symb.56"/>
            <w:bookmarkEnd w:id="122"/>
            <w:bookmarkEnd w:id="123"/>
          </w:p>
        </w:tc>
        <w:tc>
          <w:tcPr>
            <w:tcW w:w="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 w:name=".amt.55"/>
            <w:bookmarkStart w:id="125" w:name=".amt.56"/>
            <w:bookmarkEnd w:id="124"/>
            <w:bookmarkEnd w:id="125"/>
          </w:p>
        </w:tc>
        <w:tc>
          <w:tcPr>
            <w:tcW w:w="18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11,265,086</w:t>
            </w:r>
            <w:bookmarkStart w:id="126" w:name=".trail.55"/>
            <w:bookmarkStart w:id="127" w:name=".trail.56"/>
            <w:bookmarkEnd w:id="126"/>
            <w:bookmarkEnd w:id="127"/>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Schedule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Free Writing Prospectuses Included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Pricing Information Included in the Time of Sale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7"/>
        <w:gridCol w:w="60"/>
        <w:gridCol w:w="7798"/>
      </w:tblGrid>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price per share of Common Stock, accompanying Tranche 1 Warrant and Tranche 2 Warrant, to the public:</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$5.38</w:t>
            </w:r>
          </w:p>
        </w:tc>
      </w:tr>
      <w:tr>
        <w:trPr/>
        <w:tc>
          <w:tcPr>
            <w:tcW w:w="2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283"/>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price per Pre-Funded Warrant, accompanying Tranche 1 Warrant and Tranche 2 Warrant, to the public:</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$5.379</w:t>
            </w:r>
          </w:p>
        </w:tc>
      </w:tr>
      <w:tr>
        <w:trPr/>
        <w:tc>
          <w:tcPr>
            <w:tcW w:w="2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283"/>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of Common Stock offered:</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15,010,810 shares</w:t>
            </w:r>
          </w:p>
        </w:tc>
      </w:tr>
      <w:tr>
        <w:trPr/>
        <w:tc>
          <w:tcPr>
            <w:tcW w:w="2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283"/>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Pre-Funded Warrants offered:</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3,577,240 warrants</w:t>
            </w:r>
          </w:p>
        </w:tc>
      </w:tr>
      <w:tr>
        <w:trPr/>
        <w:tc>
          <w:tcPr>
            <w:tcW w:w="2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283"/>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Tranche 1 Warrants offered:</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9,294,022 warrants</w:t>
            </w:r>
          </w:p>
        </w:tc>
      </w:tr>
      <w:tr>
        <w:trPr/>
        <w:tc>
          <w:tcPr>
            <w:tcW w:w="2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283"/>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Tranche 2 Warrants offered:</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11,265,086 warrants</w:t>
            </w:r>
          </w:p>
        </w:tc>
      </w:tr>
      <w:tr>
        <w:trPr/>
        <w:tc>
          <w:tcPr>
            <w:tcW w:w="2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283"/>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Terms of Pre-Funded Warrants:</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Pre-funded Warrants to purchase 3,577,240 shares of the Company’s Common Stock are being offered to certain existing large investors in lieu of shares of Common Stock. Each Pre-Funded Warrant will entitle the holder thereof to purchase one (1) share of the Company’s Common Stock, will have an exercise price of $0.001 per share, will be exercisable upon issuance and will not expire. In general, a holder will not have the right to exercise any portion of the Pre-Funded Warrant if the holder (together with its affiliates) would beneficially own in excess of 9.99% of the number of shares of the Company’s Common Stock outstanding immediately after giving effect to the exercise, as such percentage ownership is determined in accordance with the terms of the Pre-Funded Warrants.</w:t>
            </w:r>
          </w:p>
        </w:tc>
      </w:tr>
      <w:tr>
        <w:trPr/>
        <w:tc>
          <w:tcPr>
            <w:tcW w:w="2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283"/>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Terms of Tranche 1 Warrants:</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Tranche 1 Warrants to purchase up to 9,294,022 shares of the Company’s Common Stock (or pre-funded warrants to purchase up to 9,294,022 shares of the Company’s Common Stock in lieu thereof) are being offered to certain large investors. Each Tranche 1 Warrant will entitle the holder thereof to purchase one (1) share of the Company’s Common Stock or pre-funded warrant to purchase, will have an exercise price of $5.38 per share of Common Stock or pre-funded warrant, will be exercisable upon issuance and will expire 60 days after the later of (i) the date on which the Company first publicly discloses, whether by press release or Form 8-K filing, the top-line data for the Company’s PALISADE-3 study and (ii) the date on which the Company first publicly discloses, whether by press release or Form 8-K filing, the top-line data for the Company’s PALISADE-4 study. In general, a holder will not have the right to exercise any portion of the Tranche 1 Warrant if the holder (together with its affiliates) would beneficially own in excess of 9.99% of the number of shares of the Company’s Common Stock outstanding immediately after giving effect to the exercise, as such percentage ownership is determined in accordance with the terms of the Tranche 1 Warrants.</w:t>
            </w:r>
          </w:p>
        </w:tc>
      </w:tr>
      <w:tr>
        <w:trPr/>
        <w:tc>
          <w:tcPr>
            <w:tcW w:w="2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283"/>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Terms of Tranche 2 Warrants:</w:t>
            </w:r>
          </w:p>
        </w:tc>
        <w:tc>
          <w:tcPr>
            <w:tcW w:w="60" w:type="dxa"/>
            <w:tcBorders/>
            <w:vAlign w:val="center"/>
          </w:tcPr>
          <w:p>
            <w:pPr>
              <w:pStyle w:val="TableContents"/>
              <w:bidi w:val="0"/>
              <w:spacing w:before="0" w:after="283"/>
              <w:jc w:val="left"/>
              <w:rPr/>
            </w:pPr>
            <w:r>
              <w:rPr/>
              <w:t> </w:t>
            </w:r>
          </w:p>
        </w:tc>
        <w:tc>
          <w:tcPr>
            <w:tcW w:w="77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Tranche 2 Warrants to purchase up to 11,265,086 shares of the Company’s Common Stock (or pre-funded warrants to purchase up to 11,265,086 shares of the Company’s Common Stock in lieu thereof) are being offered to certain large investors. Each Tranche 2 Warrant will entitle the holder thereof to purchase one (1) share of the Company’s Common Stock or pre-funded warrant to purchase one (1) share of the Company’s Common Stock, will have an exercise price of $8.877 per share of Common Stock or pre-funded warrant, will be exercisable upon issuance and will expire on the five year anniversary of the original issuance. In general, a holder will not have the right to exercise any portion of the Tranche 2 Warrant if the holder (together with its affiliates) would beneficially own in excess of 9.99% of the number of shares of the Company’s Common Stock outstanding immediately after giving effect to the exercise, as such percentage ownership is determined in accordance with the terms of the Tranche 2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Vistastem, Inc., a California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Pherin Pharmaceuticals,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Jefferies LLC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Stifel, Nicolaus &amp; Company, Incorporated</w:t>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William Blair &amp; Company, L.L.C.</w:t>
        <w:b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Jefferies LLC</w:t>
        <w:br/>
        <w:t>520 Madison Avenue</w:t>
        <w:b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Stifel, Nicolaus &amp; Company, Incorporated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Montgomery Street, Suite 3700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Francisco, California 94104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William Blair &amp; Company, L.L.C.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150 N. Riverside Plaza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Chicago, Illinois 60606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         Vistagen Therapeutics, Inc. (the “</w:t>
      </w:r>
      <w:r>
        <w:rPr>
          <w:rFonts w:ascii="Times New Roman" w:hAnsi="Times New Roman"/>
          <w:b/>
          <w:caps w:val="false"/>
          <w:smallCaps w:val="false"/>
          <w:sz w:val="20"/>
        </w:rPr>
        <w:t>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&amp;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is an owner of shares of common stock, par value $0.001 per share, of the Company (“</w:t>
      </w:r>
      <w:r>
        <w:rPr>
          <w:rFonts w:ascii="Times New Roman" w:hAnsi="Times New Roman"/>
          <w:b/>
          <w:caps w:val="false"/>
          <w:smallCaps w:val="false"/>
          <w:sz w:val="20"/>
        </w:rPr>
        <w:t>Shares</w:t>
      </w:r>
      <w:r>
        <w:rPr>
          <w:rFonts w:ascii="Times New Roman" w:hAnsi="Times New Roman"/>
          <w:caps w:val="false"/>
          <w:smallCaps w:val="false"/>
          <w:sz w:val="20"/>
        </w:rPr>
        <w:t>”) or of securities convertible into or exchangeable or exercisable for Common Stock. The Company proposes to conduct a public offering (the “</w:t>
      </w:r>
      <w:r>
        <w:rPr>
          <w:rFonts w:ascii="Times New Roman" w:hAnsi="Times New Roman"/>
          <w:b/>
          <w:caps w:val="false"/>
          <w:smallCaps w:val="false"/>
          <w:sz w:val="20"/>
        </w:rPr>
        <w:t>Offering</w:t>
      </w:r>
      <w:r>
        <w:rPr>
          <w:rFonts w:ascii="Times New Roman" w:hAnsi="Times New Roman"/>
          <w:caps w:val="false"/>
          <w:smallCaps w:val="false"/>
          <w:sz w:val="20"/>
        </w:rPr>
        <w:t>”) for which Jefferies LLC (“</w:t>
      </w:r>
      <w:r>
        <w:rPr>
          <w:rFonts w:ascii="Times New Roman" w:hAnsi="Times New Roman"/>
          <w:b/>
          <w:caps w:val="false"/>
          <w:smallCaps w:val="false"/>
          <w:sz w:val="20"/>
        </w:rPr>
        <w:t>Jefferies</w:t>
      </w:r>
      <w:r>
        <w:rPr>
          <w:rFonts w:ascii="Times New Roman" w:hAnsi="Times New Roman"/>
          <w:caps w:val="false"/>
          <w:smallCaps w:val="false"/>
          <w:sz w:val="20"/>
        </w:rPr>
        <w:t>”), Stifel, Nicolaus &amp; Company, Incorporated (“</w:t>
      </w:r>
      <w:r>
        <w:rPr>
          <w:rFonts w:ascii="Times New Roman" w:hAnsi="Times New Roman"/>
          <w:b/>
          <w:caps w:val="false"/>
          <w:smallCaps w:val="false"/>
          <w:sz w:val="20"/>
        </w:rPr>
        <w:t>Stifel</w:t>
      </w:r>
      <w:r>
        <w:rPr>
          <w:rFonts w:ascii="Times New Roman" w:hAnsi="Times New Roman"/>
          <w:caps w:val="false"/>
          <w:smallCaps w:val="false"/>
          <w:sz w:val="20"/>
        </w:rPr>
        <w:t>”) and William Blair &amp; Company, L.L.C. will act as the representatives of the several underwriters (in such capacity, the “</w:t>
      </w:r>
      <w:r>
        <w:rPr>
          <w:rFonts w:ascii="Times New Roman" w:hAnsi="Times New Roman"/>
          <w:b/>
          <w:caps w:val="false"/>
          <w:smallCaps w:val="false"/>
          <w:sz w:val="20"/>
        </w:rPr>
        <w:t>Representatives</w:t>
      </w:r>
      <w:r>
        <w:rPr>
          <w:rFonts w:ascii="Times New Roman" w:hAnsi="Times New Roman"/>
          <w:caps w:val="false"/>
          <w:smallCaps w:val="false"/>
          <w:sz w:val="20"/>
        </w:rPr>
        <w:t>”).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 w:hAnsi="Times New Roman"/>
          <w:b/>
          <w:caps w:val="false"/>
          <w:smallCaps w:val="false"/>
          <w:sz w:val="20"/>
        </w:rPr>
        <w:t>Underwriting Agreement</w:t>
      </w:r>
      <w:r>
        <w:rPr>
          <w:rFonts w:ascii="Times New Roman" w:hAnsi="Times New Roman"/>
          <w:caps w:val="false"/>
          <w:smallCaps w:val="false"/>
          <w:sz w:val="20"/>
        </w:rPr>
        <w:t>”) and other underwriting arrangements with the Company with respect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Annex A sets forth definitions for capitalized terms used in this letter agreement that are not defined in the body of this agreement. Those definitions are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consideration of the foregoing, and for other good and valuable consideration, the receipt and sufficiency of which are hereby acknowledged, the undersigned hereby agrees that, during the Lock-up Period, the undersigned will not (and if the undersigned is a natural person, will cause any Family Member not to), without the prior written consent of Jefferies and Stifel, which may withhold their consent in their sole discretion: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 or Offer to Sell any Shares or Related Securities currently or hereafter owned either of record or beneficially (as defined in Rule 13d-3 under the Exchange Act) by the undersigned or such Family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900" w:type="dxa"/>
        <w:jc w:val="left"/>
        <w:tblInd w:w="0" w:type="dxa"/>
        <w:tblLayout w:type="fixed"/>
        <w:tblCellMar>
          <w:top w:w="0" w:type="dxa"/>
          <w:left w:w="0" w:type="dxa"/>
          <w:bottom w:w="0" w:type="dxa"/>
          <w:right w:w="0" w:type="dxa"/>
        </w:tblCellMar>
      </w:tblPr>
      <w:tblGrid>
        <w:gridCol w:w="60"/>
        <w:gridCol w:w="170"/>
        <w:gridCol w:w="1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enter into any Swap,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publicly announce any intention to do any of the foregoing.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the undersigned may transfer the Shares: (i) as a </w:t>
      </w:r>
      <w:r>
        <w:rPr>
          <w:rFonts w:ascii="Times New Roman" w:hAnsi="Times New Roman"/>
          <w:i/>
          <w:caps w:val="false"/>
          <w:smallCaps w:val="false"/>
          <w:sz w:val="20"/>
        </w:rPr>
        <w:t xml:space="preserve">bona fide </w:t>
      </w:r>
      <w:r>
        <w:rPr>
          <w:rFonts w:ascii="Times New Roman" w:hAnsi="Times New Roman"/>
          <w:caps w:val="false"/>
          <w:smallCaps w:val="false"/>
          <w:sz w:val="20"/>
        </w:rPr>
        <w:t xml:space="preserve">gift or gifts; (ii) to any trust for the direct or indirect benefit of the undersigned or a Family Member of the undersigned; (iii) if the undersigned is a corporation, partnership, limited liability company, trust or other business entity, (a) to another corporation, partnership, limited liability company, trust or other business entity that is a direct or indirect affiliate (as defined in Rule 405 promulgated under the Securities Act of 1933, as amended) of the undersigned or (b) in distributions of Shares or any security convertible into or exercisable for Shares to limited partners, limited liability company members or stockholders of the undersigned; (iv) if the undersigned is a trust, to the beneficiary of such trust; or (v) by testate succession or intestate succession; </w:t>
      </w:r>
      <w:r>
        <w:rPr>
          <w:rFonts w:ascii="Times New Roman" w:hAnsi="Times New Roman"/>
          <w:i/>
          <w:caps w:val="false"/>
          <w:smallCaps w:val="false"/>
          <w:sz w:val="20"/>
        </w:rPr>
        <w:t xml:space="preserve">provided, </w:t>
      </w:r>
      <w:r>
        <w:rPr>
          <w:rFonts w:ascii="Times New Roman" w:hAnsi="Times New Roman"/>
          <w:caps w:val="false"/>
          <w:smallCaps w:val="false"/>
          <w:sz w:val="20"/>
        </w:rPr>
        <w:t>in the case of clauses (i)-(v), that (x) such transfer shall not involve a disposition for value, (y) any such transferee executes and delivers to the Representatives a lock-up agreement in the form of this lock-up agreement and (z) no public disclosure nor any filing by any party under Section 16(a) of the Exchange Act, shall be required or shall be made voluntarily in connection with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foregoing restrictions shall not apply to the establishment of any contract, instruction or plan (a “</w:t>
      </w:r>
      <w:r>
        <w:rPr>
          <w:rFonts w:ascii="Times New Roman" w:hAnsi="Times New Roman"/>
          <w:b/>
          <w:caps w:val="false"/>
          <w:smallCaps w:val="false"/>
          <w:sz w:val="20"/>
        </w:rPr>
        <w:t>Plan</w:t>
      </w:r>
      <w:r>
        <w:rPr>
          <w:rFonts w:ascii="Times New Roman" w:hAnsi="Times New Roman"/>
          <w:caps w:val="false"/>
          <w:smallCaps w:val="false"/>
          <w:sz w:val="20"/>
        </w:rPr>
        <w:t xml:space="preserve">”) that satisfies all of the requirements of Rule 10b5-1(c)(1)(i)(B) under the Exchange Act; </w:t>
      </w:r>
      <w:r>
        <w:rPr>
          <w:rFonts w:ascii="Times New Roman" w:hAnsi="Times New Roman"/>
          <w:i/>
          <w:caps w:val="false"/>
          <w:smallCaps w:val="false"/>
          <w:sz w:val="20"/>
        </w:rPr>
        <w:t>provided</w:t>
      </w:r>
      <w:r>
        <w:rPr>
          <w:rFonts w:ascii="Times New Roman" w:hAnsi="Times New Roman"/>
          <w:caps w:val="false"/>
          <w:smallCaps w:val="false"/>
          <w:sz w:val="20"/>
        </w:rPr>
        <w:t>, that no sales of the undersigned’s Shares shall be made pursuant to such a Plan prior to the expiration of the Lock-up Period, and such a Plan may only be established if no public announcement of the establishment or existence thereof and no filing with the SEC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letter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Lock-up Agreement shall automatically terminate and be of no further force and effect if (i) the Representatives advise the Company, or the Company advises the Representatives, in writing, prior to the execution of the Underwriting Agreement, that they have determined not to proceed with the public offering of Shares, (ii) the Company files an application to withdraw the Registration Statement, (iii) the Underwriting Agreement is executed but is terminated (other than the provisions thereof that survive termination) prior to payment for and delivery of the Shares to be sold thereunder; or (iv) October 31, 2023 if the offering is not completed by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0" w:type="dxa"/>
        <w:jc w:val="left"/>
        <w:tblInd w:w="0" w:type="dxa"/>
        <w:tblLayout w:type="fixed"/>
        <w:tblCellMar>
          <w:top w:w="0" w:type="dxa"/>
          <w:left w:w="0" w:type="dxa"/>
          <w:bottom w:w="28" w:type="dxa"/>
          <w:right w:w="0" w:type="dxa"/>
        </w:tblCellMar>
      </w:tblPr>
      <w:tblGrid>
        <w:gridCol w:w="60"/>
        <w:gridCol w:w="60"/>
      </w:tblGrid>
      <w:tr>
        <w:trPr/>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0" w:type="dxa"/>
        <w:jc w:val="left"/>
        <w:tblInd w:w="0" w:type="dxa"/>
        <w:tblLayout w:type="fixed"/>
        <w:tblCellMar>
          <w:top w:w="0" w:type="dxa"/>
          <w:left w:w="0" w:type="dxa"/>
          <w:bottom w:w="28" w:type="dxa"/>
          <w:right w:w="0" w:type="dxa"/>
        </w:tblCellMar>
      </w:tblPr>
      <w:tblGrid>
        <w:gridCol w:w="60"/>
        <w:gridCol w:w="60"/>
      </w:tblGrid>
      <w:tr>
        <w:trPr/>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Printed Name of Person Signing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(Indicate capacity of person signing if </w:t>
      </w:r>
      <w:r>
        <w:rPr>
          <w:rFonts w:ascii="Times New Roman" w:hAnsi="Times New Roman"/>
          <w:caps w:val="false"/>
          <w:smallCaps w:val="false"/>
          <w:sz w:val="20"/>
        </w:rPr>
        <w:br/>
      </w:r>
      <w:r>
        <w:rPr>
          <w:rFonts w:ascii="Times New Roman" w:hAnsi="Times New Roman"/>
          <w:i/>
          <w:caps w:val="false"/>
          <w:smallCaps w:val="false"/>
          <w:sz w:val="20"/>
        </w:rPr>
        <w:t xml:space="preserve">signing as custodian or trustee, or on behalf </w:t>
      </w:r>
      <w:r>
        <w:rPr>
          <w:rFonts w:ascii="Times New Roman" w:hAnsi="Times New Roman"/>
          <w:caps w:val="false"/>
          <w:smallCaps w:val="false"/>
          <w:sz w:val="20"/>
        </w:rPr>
        <w:br/>
      </w:r>
      <w:r>
        <w:rPr>
          <w:rFonts w:ascii="Times New Roman" w:hAnsi="Times New Roman"/>
          <w:i/>
          <w:caps w:val="false"/>
          <w:smallCaps w:val="false"/>
          <w:sz w:val="20"/>
        </w:rPr>
        <w:t>of an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Certain Defined Terms</w:t>
      </w:r>
      <w:r>
        <w:rPr>
          <w:rFonts w:ascii="Times New Roman" w:hAnsi="Times New Roman"/>
          <w:caps w:val="false"/>
          <w:smallCaps w:val="false"/>
          <w:sz w:val="20"/>
        </w:rPr>
        <w:br/>
      </w:r>
      <w:r>
        <w:rPr>
          <w:rFonts w:ascii="Times New Roman" w:hAnsi="Times New Roman"/>
          <w:b/>
          <w:caps w:val="false"/>
          <w:smallCaps w:val="false"/>
          <w:sz w:val="20"/>
          <w:u w:val="single"/>
        </w:rPr>
        <w:t>Used in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the Lock-up Agreement to which this Annex A is attached and of which it is made a part:</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60"/>
        <w:gridCol w:w="170"/>
        <w:gridCol w:w="8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Call Equivalent Position</w:t>
            </w:r>
            <w:r>
              <w:rPr>
                <w:rFonts w:ascii="Times New Roman" w:hAnsi="Times New Roman"/>
                <w:caps w:val="false"/>
                <w:smallCaps w:val="false"/>
                <w:sz w:val="20"/>
              </w:rPr>
              <w:t>” shall have the meaning set forth in Rule 16a-1(b)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Exchange Act</w:t>
            </w:r>
            <w:r>
              <w:rPr>
                <w:rFonts w:ascii="Times New Roman" w:hAnsi="Times New Roman"/>
                <w:caps w:val="false"/>
                <w:smallCaps w:val="false"/>
                <w:sz w:val="20"/>
              </w:rPr>
              <w:t>” shall mean the Securities Exchange Act of 1934,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Family Member</w:t>
            </w:r>
            <w:r>
              <w:rPr>
                <w:rFonts w:ascii="Times New Roman" w:hAnsi="Times New Roman"/>
                <w:caps w:val="false"/>
                <w:smallCaps w:val="false"/>
                <w:sz w:val="20"/>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hAnsi="Times New Roman"/>
                <w:b/>
                <w:caps w:val="false"/>
                <w:smallCaps w:val="false"/>
                <w:sz w:val="20"/>
              </w:rPr>
              <w:t>Immediate family member</w:t>
            </w:r>
            <w:r>
              <w:rPr>
                <w:rFonts w:ascii="Times New Roman" w:hAnsi="Times New Roman"/>
                <w:caps w:val="false"/>
                <w:smallCaps w:val="false"/>
                <w:sz w:val="20"/>
              </w:rPr>
              <w:t>” as used above shall have the meaning set forth in Rule 16a-1(e)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Lock-up Period</w:t>
            </w:r>
            <w:r>
              <w:rPr>
                <w:rFonts w:ascii="Times New Roman" w:hAnsi="Times New Roman"/>
                <w:caps w:val="false"/>
                <w:smallCaps w:val="false"/>
                <w:sz w:val="20"/>
              </w:rPr>
              <w:t>” shall mean the period beginning on the date hereof and continuing through the close of trading on the date that is 90 days after the date of the Prospectus (as defined in the Underwriting Agreement).</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Put Equivalent Position</w:t>
            </w:r>
            <w:r>
              <w:rPr>
                <w:rFonts w:ascii="Times New Roman" w:hAnsi="Times New Roman"/>
                <w:caps w:val="false"/>
                <w:smallCaps w:val="false"/>
                <w:sz w:val="20"/>
              </w:rPr>
              <w:t>” shall have the meaning set forth in Rule 16a-1(h)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Related Securities</w:t>
            </w:r>
            <w:r>
              <w:rPr>
                <w:rFonts w:ascii="Times New Roman" w:hAnsi="Times New Roman"/>
                <w:caps w:val="false"/>
                <w:smallCaps w:val="false"/>
                <w:sz w:val="20"/>
              </w:rPr>
              <w:t>” shall mean any options or warrants or other rights to acquire Shares or any securities exchangeable or exercisable for or convertible into Shares, or to acquire other securities or rights ultimately exchangeable or exercisable for or convertible into Shares.</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60"/>
        <w:gridCol w:w="170"/>
        <w:gridCol w:w="5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Securities Act</w:t>
            </w:r>
            <w:r>
              <w:rPr>
                <w:rFonts w:ascii="Times New Roman" w:hAnsi="Times New Roman"/>
                <w:caps w:val="false"/>
                <w:smallCaps w:val="false"/>
                <w:sz w:val="20"/>
              </w:rPr>
              <w:t>” shall mean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0"/>
        <w:gridCol w:w="170"/>
        <w:gridCol w:w="3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2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Sell or Offer to Sell</w:t>
            </w:r>
            <w:r>
              <w:rPr>
                <w:rFonts w:ascii="Times New Roman" w:hAnsi="Times New Roman"/>
                <w:caps w:val="false"/>
                <w:smallCaps w:val="false"/>
                <w:sz w:val="20"/>
              </w:rPr>
              <w:t>” shall mean to:</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40"/>
        <w:gridCol w:w="326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both"/>
              <w:rPr/>
            </w:pPr>
            <w:r>
              <w:rPr/>
              <w:t>–</w:t>
            </w:r>
          </w:p>
        </w:tc>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 offer to sell, contract to sell or lend,</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140"/>
        <w:gridCol w:w="996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both"/>
              <w:rPr/>
            </w:pPr>
            <w:r>
              <w:rPr/>
              <w:t>–</w:t>
            </w:r>
          </w:p>
        </w:tc>
        <w:tc>
          <w:tcPr>
            <w:tcW w:w="99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any short sale or establish or increase a Put Equivalent Position or liquidate or decrease any Call Equivalent Position</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40"/>
        <w:gridCol w:w="449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both"/>
              <w:rPr/>
            </w:pPr>
            <w:r>
              <w:rPr/>
              <w:t>–</w:t>
            </w:r>
          </w:p>
        </w:tc>
        <w:tc>
          <w:tcPr>
            <w:tcW w:w="4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pledge, hypothecate or grant any security interest in, or</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140"/>
        <w:gridCol w:w="314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both"/>
              <w:rPr/>
            </w:pPr>
            <w:r>
              <w:rPr/>
              <w:t>–</w:t>
            </w:r>
          </w:p>
        </w:tc>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any other way transfer or dispose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 w:hAnsi="Times New Roman"/>
          <w:caps w:val="false"/>
          <w:smallCaps w:val="false"/>
          <w:sz w:val="20"/>
        </w:rPr>
      </w:pPr>
      <w:r>
        <w:rPr>
          <w:rFonts w:ascii="Times New Roman" w:hAnsi="Times New Roman"/>
          <w:caps w:val="false"/>
          <w:smallCaps w:val="false"/>
          <w:sz w:val="20"/>
        </w:rPr>
        <w:t>in each case whether effected directly or indirectly.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Swap</w:t>
            </w:r>
            <w:r>
              <w:rPr>
                <w:rFonts w:ascii="Times New Roman" w:hAnsi="Times New Roman"/>
                <w:caps w:val="false"/>
                <w:smallCaps w:val="false"/>
                <w:sz w:val="20"/>
              </w:rPr>
              <w:t>” shall mean any swap, hedge or similar arrangement or agreement that transfers, in whole or in part, the economic risk of ownership of Shares or Related Securities, regardless of whether any such transaction is to be settled in securities, in cash or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Capitalized terms not defined in this Annex A shall have the meanings given to them in the body of this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Directors and Executive Officers</w:t>
      </w:r>
      <w:r>
        <w:rPr>
          <w:rFonts w:ascii="Times New Roman" w:hAnsi="Times New Roman"/>
          <w:caps w:val="false"/>
          <w:smallCaps w:val="false"/>
          <w:sz w:val="20"/>
        </w:rPr>
        <w:br/>
      </w:r>
      <w:r>
        <w:rPr>
          <w:rFonts w:ascii="Times New Roman" w:hAnsi="Times New Roman"/>
          <w:caps w:val="false"/>
          <w:smallCaps w:val="false"/>
          <w:sz w:val="20"/>
          <w:u w:val="single"/>
        </w:rPr>
        <w:t>           </w:t>
      </w:r>
      <w:r>
        <w:rPr>
          <w:rFonts w:ascii="Times New Roman" w:hAnsi="Times New Roman"/>
          <w:b/>
          <w:caps w:val="false"/>
          <w:smallCaps w:val="false"/>
          <w:sz w:val="20"/>
          <w:u w:val="single"/>
        </w:rPr>
        <w:t>Signing Lock-up Agreement</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 Saxe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 Cunningham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Joanne Curley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Mary L. Rotunno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Maggie FitzPatrick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Jerry Gin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Cindy Anderson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Reid G. Adler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Jerrold D. Dotson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B-1</w:t>
      </w:r>
    </w:p>
    <w:p>
      <w:pPr>
        <w:pStyle w:val="TextBody"/>
        <w:bidi w:val="0"/>
        <w:jc w:val="left"/>
        <w:rPr/>
      </w:pPr>
      <w:bookmarkStart w:id="128" w:name="ex_576134.htm"/>
      <w:bookmarkStart w:id="129" w:name="ksex_576134"/>
      <w:bookmarkEnd w:id="128"/>
      <w:bookmarkEnd w:id="129"/>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PRE-FUNDED WARRANT TO PURCHASE COMMON STOCK</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370"/>
        <w:gridCol w:w="60"/>
        <w:gridCol w:w="29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No. [ ●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Number of Shares: [ ●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(subject to adjustment)</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Original Issue Date: October 4,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 a Nevada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hereby certifies that, for good and valuable consideration, the receipt and sufficiency of which are hereby acknowledged, [ ● ] or its permitted registered assigns (the “Holder”), is entitled, subject to the terms set forth below, to purchase from the Company up to a total of [ ● ] shares of common stock, $0.001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of the Company (each such share, a “</w:t>
      </w:r>
      <w:r>
        <w:rPr>
          <w:rFonts w:ascii="Times New Roman" w:hAnsi="Times New Roman"/>
          <w:caps w:val="false"/>
          <w:smallCaps w:val="false"/>
          <w:sz w:val="20"/>
          <w:u w:val="single"/>
        </w:rPr>
        <w:t>Warrant Share</w:t>
      </w:r>
      <w:r>
        <w:rPr>
          <w:rFonts w:ascii="Times New Roman" w:hAnsi="Times New Roman"/>
          <w:caps w:val="false"/>
          <w:smallCaps w:val="false"/>
          <w:sz w:val="20"/>
        </w:rPr>
        <w:t>” and all such shares, the “</w:t>
      </w:r>
      <w:r>
        <w:rPr>
          <w:rFonts w:ascii="Times New Roman" w:hAnsi="Times New Roman"/>
          <w:caps w:val="false"/>
          <w:smallCaps w:val="false"/>
          <w:sz w:val="20"/>
          <w:u w:val="single"/>
        </w:rPr>
        <w:t>Warrant Shares</w:t>
      </w:r>
      <w:r>
        <w:rPr>
          <w:rFonts w:ascii="Times New Roman" w:hAnsi="Times New Roman"/>
          <w:caps w:val="false"/>
          <w:smallCaps w:val="false"/>
          <w:sz w:val="20"/>
        </w:rPr>
        <w:t>”) at an exercise price per share equal to $0.001 per share (as adjusted from time to time as provided in Section 9 herein, the “</w:t>
      </w:r>
      <w:r>
        <w:rPr>
          <w:rFonts w:ascii="Times New Roman" w:hAnsi="Times New Roman"/>
          <w:caps w:val="false"/>
          <w:smallCaps w:val="false"/>
          <w:sz w:val="20"/>
          <w:u w:val="single"/>
        </w:rPr>
        <w:t>Exercise Price</w:t>
      </w:r>
      <w:r>
        <w:rPr>
          <w:rFonts w:ascii="Times New Roman" w:hAnsi="Times New Roman"/>
          <w:caps w:val="false"/>
          <w:smallCaps w:val="false"/>
          <w:sz w:val="20"/>
        </w:rPr>
        <w:t>”), upon surrender of this Warrant to Purchase Common Stock (including any Warrants to Purchase Common Stock issued in exchange, transfer or replacement hereof, the “</w:t>
      </w:r>
      <w:r>
        <w:rPr>
          <w:rFonts w:ascii="Times New Roman" w:hAnsi="Times New Roman"/>
          <w:caps w:val="false"/>
          <w:smallCaps w:val="false"/>
          <w:sz w:val="20"/>
          <w:u w:val="single"/>
        </w:rPr>
        <w:t>Warrant</w:t>
      </w:r>
      <w:r>
        <w:rPr>
          <w:rFonts w:ascii="Times New Roman" w:hAnsi="Times New Roman"/>
          <w:caps w:val="false"/>
          <w:smallCaps w:val="false"/>
          <w:sz w:val="20"/>
        </w:rPr>
        <w:t>”), and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Definitions</w:t>
      </w:r>
      <w:r>
        <w:rPr>
          <w:rFonts w:ascii="Times New Roman" w:hAnsi="Times New Roman"/>
          <w:caps w:val="false"/>
          <w:smallCaps w:val="false"/>
          <w:sz w:val="20"/>
        </w:rPr>
        <w:t>. For purposes of this Warrant,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Attribution Parties</w:t>
      </w:r>
      <w:r>
        <w:rPr>
          <w:rFonts w:ascii="Times New Roman" w:hAnsi="Times New Roman"/>
          <w:caps w:val="false"/>
          <w:smallCaps w:val="false"/>
          <w:sz w:val="20"/>
        </w:rPr>
        <w:t>” means, collectively, the following Persons and entities: (i) any direct or indirect Affiliates of the Holder, (ii) any Person acting or who could be deemed to be acting as a group together with the Holder or any of the foregoing and (iii) any other Persons whose beneficial ownership of the Company’s Common Stock would or could be aggregated with the Holder’s and the other Attribution Parties for purposes of Section 13(d) or Section 16 of the 1934 Act. For clarity, the purpose of the foregoing is to subject collectively the Holder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Closing Sale Price</w:t>
      </w:r>
      <w:r>
        <w:rPr>
          <w:rFonts w:ascii="Times New Roman" w:hAnsi="Times New Roman"/>
          <w:caps w:val="false"/>
          <w:smallCaps w:val="false"/>
          <w:sz w:val="20"/>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Principal Trading Market</w:t>
      </w:r>
      <w:r>
        <w:rPr>
          <w:rFonts w:ascii="Times New Roman" w:hAnsi="Times New Roman"/>
          <w:caps w:val="false"/>
          <w:smallCaps w:val="false"/>
          <w:sz w:val="20"/>
        </w:rPr>
        <w:t>” means the trading market on which the Common Stock is primarily listed on and quoted for trading, which, as of the Original Issue Date shall be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means the Company’s Registration Statement on Form S-3 (File No. 333-254299), declared effective on March 26,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SEC</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Trading Day</w:t>
      </w:r>
      <w:r>
        <w:rPr>
          <w:rFonts w:ascii="Times New Roman" w:hAnsi="Times New Roman"/>
          <w:caps w:val="false"/>
          <w:smallCaps w:val="false"/>
          <w:sz w:val="20"/>
        </w:rPr>
        <w:t>” means any weekday on which the Principal Trading Market is normally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Transfer Agent</w:t>
      </w:r>
      <w:r>
        <w:rPr>
          <w:rFonts w:ascii="Times New Roman" w:hAnsi="Times New Roman"/>
          <w:caps w:val="false"/>
          <w:smallCaps w:val="false"/>
          <w:sz w:val="20"/>
        </w:rPr>
        <w:t>” means Computershare Trust Company, N.A., the Company’s transfer agent and registrar for the Common Stock, and any successor appointed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Registration of Warrants</w:t>
      </w:r>
      <w:r>
        <w:rPr>
          <w:rFonts w:ascii="Times New Roman" w:hAnsi="Times New Roman"/>
          <w:caps w:val="false"/>
          <w:smallCaps w:val="false"/>
          <w:sz w:val="20"/>
        </w:rPr>
        <w:t>. The Company shall register this Warrant, upon records to be maintained by the Company for that purpose (the “Warrant Register”),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Registration of Transfers</w:t>
      </w:r>
      <w:r>
        <w:rPr>
          <w:rFonts w:ascii="Times New Roman" w:hAnsi="Times New Roman"/>
          <w:caps w:val="false"/>
          <w:smallCaps w:val="false"/>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Upon any such registration or transfer, a new warrant to purchase Common Stock in substantially the form of this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Exercise of Warrants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All or any part of this Warrant shall be exercisable by the registered Holder in any manner permitted by Section 10 of this Warrant at any time and from time to time on or after the Original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Holder may exercise this Warrant by delivering to the Company (i) an exercise notice, in the form attached as Schedule 1 hereto (the “</w:t>
      </w:r>
      <w:r>
        <w:rPr>
          <w:rFonts w:ascii="Times New Roman" w:hAnsi="Times New Roman"/>
          <w:caps w:val="false"/>
          <w:smallCaps w:val="false"/>
          <w:sz w:val="20"/>
          <w:u w:val="single"/>
        </w:rPr>
        <w:t>Exercise Notice</w:t>
      </w:r>
      <w:r>
        <w:rPr>
          <w:rFonts w:ascii="Times New Roman" w:hAnsi="Times New Roman"/>
          <w:caps w:val="false"/>
          <w:smallCaps w:val="false"/>
          <w:sz w:val="20"/>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hAnsi="Times New Roman"/>
          <w:caps w:val="false"/>
          <w:smallCaps w:val="false"/>
          <w:sz w:val="20"/>
          <w:u w:val="single"/>
        </w:rPr>
        <w:t>Exercise Date</w:t>
      </w:r>
      <w:r>
        <w:rPr>
          <w:rFonts w:ascii="Times New Roman" w:hAnsi="Times New Roman"/>
          <w:caps w:val="false"/>
          <w:smallCaps w:val="false"/>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Delivery of Warrant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caps w:val="false"/>
          <w:smallCaps w:val="false"/>
          <w:sz w:val="20"/>
          <w:u w:val="single"/>
        </w:rPr>
        <w:t>DTC</w:t>
      </w:r>
      <w:r>
        <w:rPr>
          <w:rFonts w:ascii="Times New Roman" w:hAnsi="Times New Roman"/>
          <w:caps w:val="false"/>
          <w:smallCaps w:val="false"/>
          <w:sz w:val="20"/>
        </w:rPr>
        <w:t>”) through its Deposit Withdrawal Agent Commission system, or if the Transfer Agent is not participating in the Fast Automated Securities Transfer Program (FAST)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delivery of the certificates evidencing such Warrant Shares,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caps w:val="false"/>
          <w:smallCaps w:val="false"/>
          <w:sz w:val="20"/>
          <w:u w:val="single"/>
        </w:rPr>
        <w:t>Section 5(a)</w:t>
      </w:r>
      <w:r>
        <w:rPr>
          <w:rFonts w:ascii="Times New Roman" w:hAnsi="Times New Roman"/>
          <w:caps w:val="false"/>
          <w:smallCaps w:val="false"/>
          <w:sz w:val="20"/>
        </w:rPr>
        <w:t xml:space="preserve"> or fails to credit the Holder’s or its designee’s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over the product of (A) the number of shares of Common Stock purchased in the Buy-In, times (B) the Closing Sale Price of a share of Common Stock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Charges, Taxes and Expenses</w:t>
      </w:r>
      <w:r>
        <w:rPr>
          <w:rFonts w:ascii="Times New Roman" w:hAnsi="Times New Roman"/>
          <w:caps w:val="false"/>
          <w:smallCaps w:val="false"/>
          <w:sz w:val="20"/>
        </w:rPr>
        <w:t>.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provided, however,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Replacement of Warrant</w:t>
      </w:r>
      <w:r>
        <w:rPr>
          <w:rFonts w:ascii="Times New Roman" w:hAnsi="Times New Roman"/>
          <w:caps w:val="false"/>
          <w:smallCaps w:val="false"/>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Reservation of Warrant Shares</w:t>
      </w:r>
      <w:r>
        <w:rPr>
          <w:rFonts w:ascii="Times New Roman" w:hAnsi="Times New Roman"/>
          <w:caps w:val="false"/>
          <w:smallCaps w:val="false"/>
          <w:sz w:val="20"/>
        </w:rPr>
        <w:t>.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“Authorized Share Failure.” The Company covenants that all Warrant Shares so issuable and deliverable shall, upon issuance and the payment of the applicable Exercise Price in accordance with the terms hereof, be duly and validly authorized, issued and fully paid and non-assessable. The Company will take all commercially reasonable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one hundred twenty (120)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Certain Adjustments</w:t>
      </w:r>
      <w:r>
        <w:rPr>
          <w:rFonts w:ascii="Times New Roman" w:hAnsi="Times New Roman"/>
          <w:caps w:val="false"/>
          <w:smallCaps w:val="false"/>
          <w:sz w:val="20"/>
        </w:rPr>
        <w:t>. The Exercise Price and number of Warrant Shares issuable upon exercise of this Warrant are subject to adjustment from time to time as set forth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Stock Dividends and Splits</w:t>
      </w:r>
      <w:r>
        <w:rPr>
          <w:rFonts w:ascii="Times New Roman" w:hAnsi="Times New Roman"/>
          <w:caps w:val="false"/>
          <w:smallCaps w:val="false"/>
          <w:sz w:val="20"/>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Pro Rata Distributions</w:t>
      </w:r>
      <w:r>
        <w:rPr>
          <w:rFonts w:ascii="Times New Roman" w:hAnsi="Times New Roman"/>
          <w:caps w:val="false"/>
          <w:smallCaps w:val="false"/>
          <w:sz w:val="20"/>
        </w:rPr>
        <w:t>. In addition to any adjustments pursuant to the other subsections of this Section 9,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Original Issue Date,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Purchase Rights</w:t>
      </w:r>
      <w:r>
        <w:rPr>
          <w:rFonts w:ascii="Times New Roman" w:hAnsi="Times New Roman"/>
          <w:caps w:val="false"/>
          <w:smallCaps w:val="false"/>
          <w:sz w:val="20"/>
        </w:rPr>
        <w:t>. In addition to any adjustments pursuant to the other subsections of this Section 9, if at any time on or after the Original Issue Date, the Company grants, issues or sells any Options, Convertible Securities or rights to purchase stock, warrants, securities or other property, in each case pro rata to the record holders of any class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hAnsi="Times New Roman"/>
          <w:caps w:val="false"/>
          <w:smallCaps w:val="false"/>
          <w:sz w:val="20"/>
          <w:u w:val="single"/>
        </w:rPr>
        <w:t>Options</w:t>
      </w:r>
      <w:r>
        <w:rPr>
          <w:rFonts w:ascii="Times New Roman" w:hAnsi="Times New Roman"/>
          <w:caps w:val="false"/>
          <w:smallCaps w:val="false"/>
          <w:sz w:val="20"/>
        </w:rPr>
        <w:t>” means any rights, warrants or options to subscribe for or purchase shares of Common Stock or Convertible Securities and (ii) “</w:t>
      </w:r>
      <w:r>
        <w:rPr>
          <w:rFonts w:ascii="Times New Roman" w:hAnsi="Times New Roman"/>
          <w:caps w:val="false"/>
          <w:smallCaps w:val="false"/>
          <w:sz w:val="20"/>
          <w:u w:val="single"/>
        </w:rPr>
        <w:t>Convertible Securities</w:t>
      </w:r>
      <w:r>
        <w:rPr>
          <w:rFonts w:ascii="Times New Roman" w:hAnsi="Times New Roman"/>
          <w:caps w:val="false"/>
          <w:smallCaps w:val="false"/>
          <w:sz w:val="20"/>
        </w:rPr>
        <w:t>” mean any stock or securities (other than Options) directly or indirectly convertible into or exercisable or exchangeable for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Fundamental Transactions</w:t>
      </w:r>
      <w:r>
        <w:rPr>
          <w:rFonts w:ascii="Times New Roman" w:hAnsi="Times New Roman"/>
          <w:caps w:val="false"/>
          <w:smallCaps w:val="false"/>
          <w:sz w:val="20"/>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Number of Warrant Shares</w:t>
      </w:r>
      <w:r>
        <w:rPr>
          <w:rFonts w:ascii="Times New Roman" w:hAnsi="Times New Roman"/>
          <w:caps w:val="false"/>
          <w:smallCaps w:val="false"/>
          <w:sz w:val="20"/>
        </w:rPr>
        <w:t>. Simultaneously with any adjustment to the Exercise Price pursuant to paragraph (a) of this Section 9,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under this Section 9 shall be made to the nearest one tenth of one cent or the nearest share,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Notice of Adjustments</w:t>
      </w:r>
      <w:r>
        <w:rPr>
          <w:rFonts w:ascii="Times New Roman" w:hAnsi="Times New Roman"/>
          <w:caps w:val="false"/>
          <w:smallCaps w:val="false"/>
          <w:sz w:val="20"/>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Notice of Corporate Events</w:t>
      </w:r>
      <w:r>
        <w:rPr>
          <w:rFonts w:ascii="Times New Roman" w:hAnsi="Times New Roman"/>
          <w:caps w:val="false"/>
          <w:smallCaps w:val="false"/>
          <w:sz w:val="20"/>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Payment of Exercise Price</w:t>
      </w:r>
      <w:r>
        <w:rPr>
          <w:rFonts w:ascii="Times New Roman" w:hAnsi="Times New Roman"/>
          <w:caps w:val="false"/>
          <w:smallCaps w:val="false"/>
          <w:sz w:val="20"/>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 = Y [(A-B)/A]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 equals the number of Warrant Shares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Y” equals the total number of Warrant Shares with respect to which this Warrant is then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A” equals the Closing Sale Price of the shares of Common Stock (as reported by Bloomberg Financial Markets) as of the Trading Day on the date immediately preceding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B” equals the Exercise Price then in effect for the applicable Warrant Shares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SEC continues to take the position that such treatment is proper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the Registration Statement, or another registration statement registering the issuance of the Warrant Shares is, for any reason, not effective at the time of exercise of this Warrant, then the Warrant may only be exercised through a cashless exercise, as set forth in this Section 10. If Warrant Shares are issued in such a cashless exercise, the Company acknowledges and agrees that in accordance with Section 3(a)(9) of the Securities Act of 1933, as amended, the Warrant Shares shall take on the registered characteristics of the Warrants being exercised, and the holding period of the Warrants being exercised may be tacked on to the holding period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Limitations on 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(the “</w:t>
      </w:r>
      <w:r>
        <w:rPr>
          <w:rFonts w:ascii="Times New Roman" w:hAnsi="Times New Roman"/>
          <w:caps w:val="false"/>
          <w:smallCaps w:val="false"/>
          <w:sz w:val="20"/>
          <w:u w:val="single"/>
        </w:rPr>
        <w:t>Maximum Percentage</w:t>
      </w:r>
      <w:r>
        <w:rPr>
          <w:rFonts w:ascii="Times New Roman" w:hAnsi="Times New Roman"/>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11(a). For purposes of this Section 11(a),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11(a)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Times New Roman" w:hAnsi="Times New Roman"/>
          <w:caps w:val="false"/>
          <w:smallCaps w:val="false"/>
          <w:sz w:val="20"/>
          <w:u w:val="single"/>
        </w:rPr>
        <w:t>Reported Outstanding Share Number</w:t>
      </w:r>
      <w:r>
        <w:rPr>
          <w:rFonts w:ascii="Times New Roman" w:hAnsi="Times New Roman"/>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caps w:val="false"/>
          <w:smallCaps w:val="false"/>
          <w:sz w:val="20"/>
          <w:u w:val="single"/>
        </w:rPr>
        <w:t>Reduction Shares</w:t>
      </w:r>
      <w:r>
        <w:rPr>
          <w:rFonts w:ascii="Times New Roman" w:hAnsi="Times New Roman"/>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hAnsi="Times New Roman"/>
          <w:caps w:val="false"/>
          <w:smallCaps w:val="false"/>
          <w:sz w:val="20"/>
          <w:u w:val="single"/>
        </w:rPr>
        <w:t>Excess Shares</w:t>
      </w:r>
      <w:r>
        <w:rPr>
          <w:rFonts w:ascii="Times New Roman" w:hAnsi="Times New Roman"/>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5636(b)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 (iii) 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No Fractional Shares</w:t>
      </w:r>
      <w:r>
        <w:rPr>
          <w:rFonts w:ascii="Times New Roman" w:hAnsi="Times New Roman"/>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caps w:val="false"/>
          <w:smallCaps w:val="false"/>
          <w:sz w:val="20"/>
          <w:u w:val="single"/>
        </w:rPr>
        <w:t>Notices</w:t>
      </w:r>
      <w:r>
        <w:rPr>
          <w:rFonts w:ascii="Times New Roman" w:hAnsi="Times New Roman"/>
          <w:caps w:val="false"/>
          <w:smallCaps w:val="false"/>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in the books and records of the Transfer Agent prior to 5:30 P.M., New York City time, on a Trading Day, (ii) the next Trading Day after the date of transmission, if such notice or communication is delivered via facsimile or confirmed e-mail at the facsimile number or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Warrant Agent</w:t>
      </w:r>
      <w:r>
        <w:rPr>
          <w:rFonts w:ascii="Times New Roman" w:hAnsi="Times New Roman"/>
          <w:caps w:val="false"/>
          <w:smallCaps w:val="false"/>
          <w:sz w:val="20"/>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 Rights as a Stockholder</w:t>
      </w:r>
      <w:r>
        <w:rPr>
          <w:rFonts w:ascii="Times New Roman" w:hAnsi="Times New Roman"/>
          <w:caps w:val="false"/>
          <w:smallCaps w:val="false"/>
          <w:sz w:val="20"/>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Authorized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Amendment and Waiver</w:t>
      </w:r>
      <w:r>
        <w:rPr>
          <w:rFonts w:ascii="Times New Roman" w:hAnsi="Times New Roman"/>
          <w:caps w:val="false"/>
          <w:smallCaps w:val="false"/>
          <w:sz w:val="20"/>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Acceptance</w:t>
      </w:r>
      <w:r>
        <w:rPr>
          <w:rFonts w:ascii="Times New Roman" w:hAnsi="Times New Roman"/>
          <w:caps w:val="false"/>
          <w:smallCaps w:val="false"/>
          <w:sz w:val="20"/>
        </w:rPr>
        <w:t>. Receipt of this Warrant by the Holder shall constitute acceptance of and agreement to all of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Governing Law; Jurisdiction</w:t>
      </w:r>
      <w:r>
        <w:rPr>
          <w:rFonts w:ascii="Times New Roman" w:hAnsi="Times New Roman"/>
          <w:caps w:val="false"/>
          <w:smallCaps w:val="false"/>
          <w:sz w:val="20"/>
        </w:rPr>
        <w:t>. ALL QUESTIONS CONCERNING THE CONSTRUCTION, VALIDITY, ENFORCEMENT AND INTERPRETATION OF THIS WARRANT SHALL BE GOVERNED BY AND CONSTRUED AND ENFORCED IN ACCORDANCE WITH THE LAWS OF THE STATE OF NEVADA WITHOUT REGARD TO THE PRINCIPLES OF CONFLICTS OF LAW THEREOF. EACH OF THE COMPANY AND THE HOLDER HEREBY IRREVOCABLY SUBMITS TO THE EXCLUSIVE JURISDICTION OF THE STATE AND FEDERAL COURTS SITTING IN THE STATE OF NEVADA,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Headings</w:t>
      </w:r>
      <w:r>
        <w:rPr>
          <w:rFonts w:ascii="Times New Roman" w:hAnsi="Times New Roman"/>
          <w:caps w:val="false"/>
          <w:smallCaps w:val="false"/>
          <w:sz w:val="20"/>
        </w:rPr>
        <w:t>. The headings herein are for convenience only, do not constitute a part of this Warrant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Severability</w:t>
      </w:r>
      <w:r>
        <w:rPr>
          <w:rFonts w:ascii="Times New Roman" w:hAnsi="Times New Roman"/>
          <w:caps w:val="false"/>
          <w:smallCaps w:val="false"/>
          <w:sz w:val="20"/>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Company has caused this Pre-Funded Warrant to be duly executed as of the Original Issue Date set out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2"/>
        <w:gridCol w:w="307"/>
        <w:gridCol w:w="3713"/>
        <w:gridCol w:w="1203"/>
      </w:tblGrid>
      <w:tr>
        <w:trPr/>
        <w:tc>
          <w:tcPr>
            <w:tcW w:w="4982" w:type="dxa"/>
            <w:tcBorders/>
          </w:tcPr>
          <w:p>
            <w:pPr>
              <w:pStyle w:val="TableContents"/>
              <w:bidi w:val="0"/>
              <w:spacing w:before="0" w:after="0"/>
              <w:ind w:left="0" w:right="0" w:hanging="0"/>
              <w:jc w:val="left"/>
              <w:rPr/>
            </w:pPr>
            <w:r>
              <w:rPr/>
              <w:t> </w:t>
            </w:r>
          </w:p>
        </w:tc>
        <w:tc>
          <w:tcPr>
            <w:tcW w:w="4020" w:type="dxa"/>
            <w:gridSpan w:val="2"/>
            <w:tcBorders/>
          </w:tcPr>
          <w:p>
            <w:pPr>
              <w:pStyle w:val="TableContents"/>
              <w:bidi w:val="0"/>
              <w:spacing w:before="0" w:after="0"/>
              <w:ind w:left="0" w:right="0" w:hanging="0"/>
              <w:jc w:val="left"/>
              <w:rPr/>
            </w:pPr>
            <w:r>
              <w:rPr/>
              <w:t> </w:t>
            </w:r>
          </w:p>
        </w:tc>
        <w:tc>
          <w:tcPr>
            <w:tcW w:w="1203" w:type="dxa"/>
            <w:tcBorders/>
          </w:tcPr>
          <w:p>
            <w:pPr>
              <w:pStyle w:val="TableContents"/>
              <w:bidi w:val="0"/>
              <w:spacing w:before="0" w:after="0"/>
              <w:ind w:left="0" w:right="0" w:hanging="0"/>
              <w:jc w:val="left"/>
              <w:rPr/>
            </w:pPr>
            <w:r>
              <w:rPr/>
              <w:t> </w:t>
            </w:r>
          </w:p>
        </w:tc>
      </w:tr>
      <w:tr>
        <w:trPr/>
        <w:tc>
          <w:tcPr>
            <w:tcW w:w="4982" w:type="dxa"/>
            <w:tcBorders/>
          </w:tcPr>
          <w:p>
            <w:pPr>
              <w:pStyle w:val="TableContents"/>
              <w:bidi w:val="0"/>
              <w:spacing w:before="0" w:after="0"/>
              <w:ind w:left="0" w:right="0" w:hanging="0"/>
              <w:jc w:val="left"/>
              <w:rPr/>
            </w:pPr>
            <w:r>
              <w:rPr/>
              <w:t> </w:t>
            </w:r>
          </w:p>
        </w:tc>
        <w:tc>
          <w:tcPr>
            <w:tcW w:w="307" w:type="dxa"/>
            <w:tcBorders/>
          </w:tcPr>
          <w:p>
            <w:pPr>
              <w:pStyle w:val="TableContents"/>
              <w:bidi w:val="0"/>
              <w:spacing w:before="0" w:after="0"/>
              <w:ind w:left="0" w:right="0" w:hanging="0"/>
              <w:jc w:val="left"/>
              <w:rPr/>
            </w:pPr>
            <w:r>
              <w:rPr/>
              <w:t> </w:t>
            </w:r>
          </w:p>
        </w:tc>
        <w:tc>
          <w:tcPr>
            <w:tcW w:w="3713"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VISTAGEN THERAPEUTICS,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1203" w:type="dxa"/>
            <w:tcBorders/>
          </w:tcPr>
          <w:p>
            <w:pPr>
              <w:pStyle w:val="TableContents"/>
              <w:bidi w:val="0"/>
              <w:spacing w:before="0" w:after="0"/>
              <w:ind w:left="0" w:right="0" w:hanging="0"/>
              <w:jc w:val="left"/>
              <w:rPr/>
            </w:pPr>
            <w:r>
              <w:rPr/>
              <w:t> </w:t>
            </w:r>
          </w:p>
        </w:tc>
      </w:tr>
      <w:tr>
        <w:trPr/>
        <w:tc>
          <w:tcPr>
            <w:tcW w:w="4982" w:type="dxa"/>
            <w:tcBorders/>
          </w:tcPr>
          <w:p>
            <w:pPr>
              <w:pStyle w:val="TableContents"/>
              <w:bidi w:val="0"/>
              <w:spacing w:before="0" w:after="0"/>
              <w:ind w:left="0" w:right="0" w:hanging="0"/>
              <w:jc w:val="left"/>
              <w:rPr/>
            </w:pPr>
            <w:r>
              <w:rPr/>
              <w:t> </w:t>
            </w:r>
          </w:p>
        </w:tc>
        <w:tc>
          <w:tcPr>
            <w:tcW w:w="307" w:type="dxa"/>
            <w:tcBorders/>
          </w:tcPr>
          <w:p>
            <w:pPr>
              <w:pStyle w:val="TableContents"/>
              <w:bidi w:val="0"/>
              <w:spacing w:before="0" w:after="0"/>
              <w:ind w:left="0" w:right="0" w:hanging="0"/>
              <w:jc w:val="left"/>
              <w:rPr/>
            </w:pPr>
            <w:r>
              <w:rPr/>
              <w:t> </w:t>
            </w:r>
          </w:p>
        </w:tc>
        <w:tc>
          <w:tcPr>
            <w:tcW w:w="3713" w:type="dxa"/>
            <w:tcBorders/>
            <w:vAlign w:val="bottom"/>
          </w:tcPr>
          <w:p>
            <w:pPr>
              <w:pStyle w:val="TableContents"/>
              <w:bidi w:val="0"/>
              <w:spacing w:before="0" w:after="0"/>
              <w:ind w:left="0" w:right="0" w:hanging="0"/>
              <w:jc w:val="left"/>
              <w:rPr/>
            </w:pPr>
            <w:r>
              <w:rPr/>
              <w:t> </w:t>
            </w:r>
          </w:p>
        </w:tc>
        <w:tc>
          <w:tcPr>
            <w:tcW w:w="120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Pre-Funded Warrant]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executed by the Holder to purchase shares of Common Stock under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is the Holder of Warrant No. [ ● ] (the “</w:t>
            </w:r>
            <w:r>
              <w:rPr>
                <w:rFonts w:ascii="Times New Roman;Times;serif" w:hAnsi="Times New Roman;Times;serif"/>
                <w:sz w:val="20"/>
                <w:u w:val="single"/>
              </w:rPr>
              <w:t>Warrant</w:t>
            </w:r>
            <w:r>
              <w:rPr>
                <w:rFonts w:ascii="Times New Roman;Times;serif" w:hAnsi="Times New Roman;Times;serif"/>
                <w:sz w:val="20"/>
              </w:rPr>
              <w:t>”) issued by Vistagen Therapeutics, Inc., a Nevada corporation (the “</w:t>
            </w:r>
            <w:r>
              <w:rPr>
                <w:rFonts w:ascii="Times New Roman;Times;serif" w:hAnsi="Times New Roman;Times;serif"/>
                <w:sz w:val="20"/>
                <w:u w:val="single"/>
              </w:rPr>
              <w:t>Company</w:t>
            </w:r>
            <w:r>
              <w:rPr>
                <w:rFonts w:ascii="Times New Roman;Times;serif" w:hAnsi="Times New Roman;Times;serif"/>
                <w:sz w:val="20"/>
              </w:rPr>
              <w:t>”). Capitalized terms used herein and not otherwise defined herein have the respective meanings set forth in the Warrant.</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245"/>
        <w:gridCol w:w="76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7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hereby exercises its right to purchase Warrant Shares pursuant to the Warrant.</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245"/>
        <w:gridCol w:w="68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Holder intends that payment of the Exercise Price shall be made as (check one):</w:t>
            </w:r>
          </w:p>
        </w:tc>
      </w:tr>
    </w:tbl>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60"/>
        <w:gridCol w:w="1430"/>
      </w:tblGrid>
      <w:tr>
        <w:trPr/>
        <w:tc>
          <w:tcPr>
            <w:tcW w:w="60"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Cash Exercise</w:t>
            </w:r>
          </w:p>
        </w:tc>
      </w:tr>
    </w:tbl>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60"/>
        <w:gridCol w:w="4550"/>
      </w:tblGrid>
      <w:tr>
        <w:trPr/>
        <w:tc>
          <w:tcPr>
            <w:tcW w:w="60" w:type="dxa"/>
            <w:tcBorders/>
            <w:vAlign w:val="center"/>
          </w:tcPr>
          <w:p>
            <w:pPr>
              <w:pStyle w:val="TableContents"/>
              <w:bidi w:val="0"/>
              <w:spacing w:before="0" w:after="0"/>
              <w:ind w:left="0" w:right="0" w:hanging="0"/>
              <w:jc w:val="left"/>
              <w:rPr/>
            </w:pPr>
            <w:r>
              <w:rPr/>
              <w:t> </w:t>
            </w:r>
          </w:p>
        </w:tc>
        <w:tc>
          <w:tcPr>
            <w:tcW w:w="455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Cashless Exercise” under Section 10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Holder has elected a Cash Exercise, the Holder shall pay the sum of $[ ● ] in immediately available funds to the Company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this Exercise Notice, the Company shall deliver to the Holder Warrant Shares determined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or Section 11(b), as applicable, of the Warrant to which this notice relates.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of Holder: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must conform in all respects to name of Holder as specified on the face of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t>Schedule 1-1</w:t>
      </w:r>
    </w:p>
    <w:p>
      <w:pPr>
        <w:pStyle w:val="TextBody"/>
        <w:bidi w:val="0"/>
        <w:jc w:val="left"/>
        <w:rPr/>
      </w:pPr>
      <w:bookmarkStart w:id="130" w:name="ex_576135.htm"/>
      <w:bookmarkStart w:id="131" w:name="ksex_576135"/>
      <w:bookmarkEnd w:id="130"/>
      <w:bookmarkEnd w:id="131"/>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WARRANT TO PURCHASE COMMON STOCK OR PREFUNDED WARRANTS</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370"/>
        <w:gridCol w:w="60"/>
        <w:gridCol w:w="29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No. [ ●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Number of Shares: [ ●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(subject to adjustment)</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Original Issue Date: October 4,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 a Nevada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hereby certifies that, for good and valuable consideration, the receipt and sufficiency of which are hereby acknowledged, [ ● ] or its permitted registered assigns (the “</w:t>
      </w:r>
      <w:r>
        <w:rPr>
          <w:rFonts w:ascii="Times New Roman" w:hAnsi="Times New Roman"/>
          <w:caps w:val="false"/>
          <w:smallCaps w:val="false"/>
          <w:sz w:val="20"/>
          <w:u w:val="single"/>
        </w:rPr>
        <w:t>Holder</w:t>
      </w:r>
      <w:r>
        <w:rPr>
          <w:rFonts w:ascii="Times New Roman" w:hAnsi="Times New Roman"/>
          <w:caps w:val="false"/>
          <w:smallCaps w:val="false"/>
          <w:sz w:val="20"/>
        </w:rPr>
        <w:t>”), is entitled, subject to the terms set forth below, to purchase from the Company at any time or times on or after the Original Issue Date, but not after 11:59 p.m., New York time, on the Expiration Date (as defined below), up to a total of [ ● ] shares of common stock, $0.001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of the Company (each such share, a “</w:t>
      </w:r>
      <w:r>
        <w:rPr>
          <w:rFonts w:ascii="Times New Roman" w:hAnsi="Times New Roman"/>
          <w:caps w:val="false"/>
          <w:smallCaps w:val="false"/>
          <w:sz w:val="20"/>
          <w:u w:val="single"/>
        </w:rPr>
        <w:t>Warrant Share</w:t>
      </w:r>
      <w:r>
        <w:rPr>
          <w:rFonts w:ascii="Times New Roman" w:hAnsi="Times New Roman"/>
          <w:caps w:val="false"/>
          <w:smallCaps w:val="false"/>
          <w:sz w:val="20"/>
        </w:rPr>
        <w:t>” and all such shares, the “</w:t>
      </w:r>
      <w:r>
        <w:rPr>
          <w:rFonts w:ascii="Times New Roman" w:hAnsi="Times New Roman"/>
          <w:caps w:val="false"/>
          <w:smallCaps w:val="false"/>
          <w:sz w:val="20"/>
          <w:u w:val="single"/>
        </w:rPr>
        <w:t>Warrant Shares</w:t>
      </w:r>
      <w:r>
        <w:rPr>
          <w:rFonts w:ascii="Times New Roman" w:hAnsi="Times New Roman"/>
          <w:caps w:val="false"/>
          <w:smallCaps w:val="false"/>
          <w:sz w:val="20"/>
        </w:rPr>
        <w:t>”) at an exercise price per share equal to $5.38 per share, which price is equal to the price per unit set forth on the cover of the Company’s prospectus supplement dated October 2, 2023, filed in connection with the offering of the Warrant (as defined below) (as adjusted from time to time as provided in Section 9 herein, the “</w:t>
      </w:r>
      <w:r>
        <w:rPr>
          <w:rFonts w:ascii="Times New Roman" w:hAnsi="Times New Roman"/>
          <w:caps w:val="false"/>
          <w:smallCaps w:val="false"/>
          <w:sz w:val="20"/>
          <w:u w:val="single"/>
        </w:rPr>
        <w:t>Exercise Price</w:t>
      </w:r>
      <w:r>
        <w:rPr>
          <w:rFonts w:ascii="Times New Roman" w:hAnsi="Times New Roman"/>
          <w:caps w:val="false"/>
          <w:smallCaps w:val="false"/>
          <w:sz w:val="20"/>
        </w:rPr>
        <w:t>”), or Prefunded Warrants (as defined below) to purchase the same number of Warrant Shares (as subject to adjustment hereunder), upon surrender of this Warrant to Purchase Common Stock or Prefunded Warrants (including any Warrants to Purchase Common Stock or Prefunded Warrants issued in exchange, transfer or replacement hereof, the “</w:t>
      </w:r>
      <w:r>
        <w:rPr>
          <w:rFonts w:ascii="Times New Roman" w:hAnsi="Times New Roman"/>
          <w:caps w:val="false"/>
          <w:smallCaps w:val="false"/>
          <w:sz w:val="20"/>
          <w:u w:val="single"/>
        </w:rPr>
        <w:t>Warrant</w:t>
      </w:r>
      <w:r>
        <w:rPr>
          <w:rFonts w:ascii="Times New Roman" w:hAnsi="Times New Roman"/>
          <w:caps w:val="false"/>
          <w:smallCaps w:val="false"/>
          <w:sz w:val="20"/>
        </w:rPr>
        <w:t>”), and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Definitions</w:t>
      </w:r>
      <w:r>
        <w:rPr>
          <w:rFonts w:ascii="Times New Roman" w:hAnsi="Times New Roman"/>
          <w:caps w:val="false"/>
          <w:smallCaps w:val="false"/>
          <w:sz w:val="20"/>
        </w:rPr>
        <w:t>. For purposes of this Warrant,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Attribution Parties</w:t>
      </w:r>
      <w:r>
        <w:rPr>
          <w:rFonts w:ascii="Times New Roman" w:hAnsi="Times New Roman"/>
          <w:caps w:val="false"/>
          <w:smallCaps w:val="false"/>
          <w:sz w:val="20"/>
        </w:rPr>
        <w:t>” means, collectively, the following Persons and entities: (i) any direct or indirect Affiliates of the Holder, (ii) any Person acting or who could be deemed to be acting as a group together with the Holder or any of the foregoing and (iii) any other Persons whose beneficial ownership of the Company’s Common Stock would or could be aggregated with the Holder’s and the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Closing Sale Price</w:t>
      </w:r>
      <w:r>
        <w:rPr>
          <w:rFonts w:ascii="Times New Roman" w:hAnsi="Times New Roman"/>
          <w:caps w:val="false"/>
          <w:smallCaps w:val="false"/>
          <w:sz w:val="20"/>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Expiration Date</w:t>
      </w:r>
      <w:r>
        <w:rPr>
          <w:rFonts w:ascii="Times New Roman" w:hAnsi="Times New Roman"/>
          <w:caps w:val="false"/>
          <w:smallCaps w:val="false"/>
          <w:sz w:val="20"/>
        </w:rPr>
        <w:t>” means the date sixty (60) days after the later of (i) the date on which the Company first publicly discloses, whether by press release or Form 8-K filing, the top-line data for the Company’s PALISADE-3 study and (ii) the date on which the Company first publicly discloses, whether by press release or Form 8-K filing, the top-line data for the Company’s PALISADE-4 study, or, in the case of either clause (i) or (ii), if such date falls on a day other than a business day or on which trading does not take place on the Principal Trading Market (a “</w:t>
      </w:r>
      <w:r>
        <w:rPr>
          <w:rFonts w:ascii="Times New Roman" w:hAnsi="Times New Roman"/>
          <w:caps w:val="false"/>
          <w:smallCaps w:val="false"/>
          <w:sz w:val="20"/>
          <w:u w:val="single"/>
        </w:rPr>
        <w:t>Holiday</w:t>
      </w:r>
      <w:r>
        <w:rPr>
          <w:rFonts w:ascii="Times New Roman" w:hAnsi="Times New Roman"/>
          <w:caps w:val="false"/>
          <w:smallCaps w:val="false"/>
          <w:sz w:val="20"/>
        </w:rPr>
        <w:t>”), the next day that is not a Holiday.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Prefunded Warrants</w:t>
      </w:r>
      <w:r>
        <w:rPr>
          <w:rFonts w:ascii="Times New Roman" w:hAnsi="Times New Roman"/>
          <w:caps w:val="false"/>
          <w:smallCaps w:val="false"/>
          <w:sz w:val="20"/>
        </w:rPr>
        <w:t>” means, the prefunded warrants to purchase a number of shares of Common Stock equal to the number of Warrant Shares as to which this Warrant is being exercised in the form of a Prefunded Warrant attached as Exhibit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Prefunded Warrant Exercise Price</w:t>
      </w:r>
      <w:r>
        <w:rPr>
          <w:rFonts w:ascii="Times New Roman" w:hAnsi="Times New Roman"/>
          <w:caps w:val="false"/>
          <w:smallCaps w:val="false"/>
          <w:sz w:val="20"/>
        </w:rPr>
        <w:t>” equals $0.001 per share of Common Stock, subject to adjustment for reverse and forward share splits, share dividends, share combinations, ratio changes and other similar transactions of the shares of Common Stock that occur after the Original Issue Date; provided, that in no event shall the Prefunded Warrant Exercise Price be adjusted to an amount below the par value of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Principal Trading Market</w:t>
      </w:r>
      <w:r>
        <w:rPr>
          <w:rFonts w:ascii="Times New Roman" w:hAnsi="Times New Roman"/>
          <w:caps w:val="false"/>
          <w:smallCaps w:val="false"/>
          <w:sz w:val="20"/>
        </w:rPr>
        <w:t>” means the trading market on which the Common Stock is primarily listed on and quoted for trading, which, as of the Original Issue Date shall be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means the Company’s Registration Statement on Form S-3 (File No. 333-254299), declared effective on March 26,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SEC</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Trading Day</w:t>
      </w:r>
      <w:r>
        <w:rPr>
          <w:rFonts w:ascii="Times New Roman" w:hAnsi="Times New Roman"/>
          <w:caps w:val="false"/>
          <w:smallCaps w:val="false"/>
          <w:sz w:val="20"/>
        </w:rPr>
        <w:t>” means any weekday on which the Principal Trading Market is normally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Transfer Agent</w:t>
      </w:r>
      <w:r>
        <w:rPr>
          <w:rFonts w:ascii="Times New Roman" w:hAnsi="Times New Roman"/>
          <w:caps w:val="false"/>
          <w:smallCaps w:val="false"/>
          <w:sz w:val="20"/>
        </w:rPr>
        <w:t>” means Computershare Trust Company, N.A., the Company’s transfer agent and registrar for the Common Stock, and any successor appointed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Registration of Warrants</w:t>
      </w:r>
      <w:r>
        <w:rPr>
          <w:rFonts w:ascii="Times New Roman" w:hAnsi="Times New Roman"/>
          <w:caps w:val="false"/>
          <w:smallCaps w:val="false"/>
          <w:sz w:val="20"/>
        </w:rPr>
        <w:t>. The Company shall register this Warrant, upon records to be maintained by the Company for that purpose (the “Warrant Register”),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Registration of Transfers</w:t>
      </w:r>
      <w:r>
        <w:rPr>
          <w:rFonts w:ascii="Times New Roman" w:hAnsi="Times New Roman"/>
          <w:caps w:val="false"/>
          <w:smallCaps w:val="false"/>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Upon any such registration or transfer, a new warrant to purchase Common Stock or Prefunded Warrants in substantially the form of this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Exercise of Warrants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All or any part of this Warrant shall be exercisable by the registered Holder in any manner permitted by Section 10 of this Warrant at any time and from time to time on or after the Original Issue Date and on or before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Holder may exercise this Warrant by delivering to the Company (i) an exercise notice, in the form attached as Schedule 1 hereto (the “</w:t>
      </w:r>
      <w:r>
        <w:rPr>
          <w:rFonts w:ascii="Times New Roman" w:hAnsi="Times New Roman"/>
          <w:caps w:val="false"/>
          <w:smallCaps w:val="false"/>
          <w:sz w:val="20"/>
          <w:u w:val="single"/>
        </w:rPr>
        <w:t>Exercise Notice</w:t>
      </w:r>
      <w:r>
        <w:rPr>
          <w:rFonts w:ascii="Times New Roman" w:hAnsi="Times New Roman"/>
          <w:caps w:val="false"/>
          <w:smallCaps w:val="false"/>
          <w:sz w:val="20"/>
        </w:rPr>
        <w:t>”), completed and duly signed, and (ii) payment of (x) the Exercise Price for the number of Warrant Shares as to which this Warrant is being exercised, or (y) the aggregate Exercise Price minus the aggregate Prefunded Warrant Exercise Price, if this Warrant is being exercised for Prefunded Warrants (which may in limited circumstances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hAnsi="Times New Roman"/>
          <w:caps w:val="false"/>
          <w:smallCaps w:val="false"/>
          <w:sz w:val="20"/>
          <w:u w:val="single"/>
        </w:rPr>
        <w:t>Exercise Date</w:t>
      </w:r>
      <w:r>
        <w:rPr>
          <w:rFonts w:ascii="Times New Roman" w:hAnsi="Times New Roman"/>
          <w:caps w:val="false"/>
          <w:smallCaps w:val="false"/>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or Prefunded Warrants,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Delivery of Warrant Shares or Prefunded Warrants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If this Warrant is being exercised for Warrant Shares, 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caps w:val="false"/>
          <w:smallCaps w:val="false"/>
          <w:sz w:val="20"/>
          <w:u w:val="single"/>
        </w:rPr>
        <w:t>DTC</w:t>
      </w:r>
      <w:r>
        <w:rPr>
          <w:rFonts w:ascii="Times New Roman" w:hAnsi="Times New Roman"/>
          <w:caps w:val="false"/>
          <w:smallCaps w:val="false"/>
          <w:sz w:val="20"/>
        </w:rPr>
        <w:t>”) through its Deposit Withdrawal Agent Commission system, or if the Transfer Agent is not participating in the Fast Automated Securities Transfer Program (FAST)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delivery of the certificates evidencing such Warrant Shares,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If this Warrant is being exercised for Prefunded Warrants, the Company shall issue and dispatch by overnight courier to the address as specified in the Exercise Notice, Prefunded Warrants to purchase a number of shares of Common Stock with respect to which this Warrant is being exercised by the date that is the latest of (i) five (5) Trading Days after the delivery to the Company of the Exercise Notice, (ii) five (5) Trading Days after delivery of the aggregate Exercise Price less the aggregate Prefunded Warrant Exercise Price to the Company and (iii) the number of Trading Days comprising the Standard Settlement Period after the delivery to the Company of the Exercise Notice (the “</w:t>
      </w:r>
      <w:r>
        <w:rPr>
          <w:rFonts w:ascii="Times New Roman" w:hAnsi="Times New Roman"/>
          <w:caps w:val="false"/>
          <w:smallCaps w:val="false"/>
          <w:sz w:val="20"/>
          <w:u w:val="single"/>
        </w:rPr>
        <w:t>Delivery Date</w:t>
      </w:r>
      <w:r>
        <w:rPr>
          <w:rFonts w:ascii="Times New Roman" w:hAnsi="Times New Roman"/>
          <w:caps w:val="false"/>
          <w:smallCaps w:val="false"/>
          <w:sz w:val="20"/>
        </w:rPr>
        <w:t>”). As used herein, “Standard Settlement Period” means the standard settlement period, expressed in a number of Trading Days, on the Company’s Principal Trading Market with respect to the shares of Common Stock as in effect on the date of delivery of the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caps w:val="false"/>
          <w:smallCaps w:val="false"/>
          <w:sz w:val="20"/>
          <w:u w:val="single"/>
        </w:rPr>
        <w:t>Section 5(a)</w:t>
      </w:r>
      <w:r>
        <w:rPr>
          <w:rFonts w:ascii="Times New Roman" w:hAnsi="Times New Roman"/>
          <w:caps w:val="false"/>
          <w:smallCaps w:val="false"/>
          <w:sz w:val="20"/>
        </w:rPr>
        <w:t xml:space="preserve"> or fails to credit the Holder’s or its designee’s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over the product of (A) the number of shares of Common Stock purchased in the Buy-In, times (B) the Closing Sale Price of a share of Common Stock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To the extent permitted by law and subject to Section 5(c), the Company’s obligations to issue and deliver Warrant Shares or Prefunded Warrants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or Prefunded Warrants. Subject to Section 5(c),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Charges, Taxes and Expenses</w:t>
      </w:r>
      <w:r>
        <w:rPr>
          <w:rFonts w:ascii="Times New Roman" w:hAnsi="Times New Roman"/>
          <w:caps w:val="false"/>
          <w:smallCaps w:val="false"/>
          <w:sz w:val="20"/>
        </w:rPr>
        <w:t>. Issuance and delivery of certificates for shares of Common Stock or Prefunded Warrants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provided, however, that the Company shall not be required to pay any tax that may be payable in respect of any transfer involved in the registration of any certificates for Warrant Shares, Prefunded Warrants or the Warrants in a name other than that of the Holder or an Affiliate thereof. The Holder shall be responsible for all other tax liability that may arise as a result of holding or transferring this Warrant or receiving Warrant Shares or Prefunded Warrants upon exercise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Replacement of Warrant</w:t>
      </w:r>
      <w:r>
        <w:rPr>
          <w:rFonts w:ascii="Times New Roman" w:hAnsi="Times New Roman"/>
          <w:caps w:val="false"/>
          <w:smallCaps w:val="false"/>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Reservation of Warrant Sharesand Prefunded Warrants</w:t>
      </w:r>
      <w:r>
        <w:rPr>
          <w:rFonts w:ascii="Times New Roman" w:hAnsi="Times New Roman"/>
          <w:caps w:val="false"/>
          <w:smallCaps w:val="false"/>
          <w:sz w:val="20"/>
        </w:rPr>
        <w:t>. The Company covenants that it will, at all times while this Warrant is outstanding, reserve and keep available out of the aggregate of its authorized but unissued and otherwise unreserved Common Stock, solely for the purpose of enabling it to issue Warrant Shares or Prefunded Warrants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“Authorized Share Failure.” The Company covenants that all Warrant Shares so issuable and deliverable shall, upon issuance and the payment of the applicable Exercise Price in accordance with the terms hereof, be duly and validly authorized, issued and fully paid and non-assessable. The Company will take all commercially reasonable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one hundred twenty (120)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Certain Adjustments</w:t>
      </w:r>
      <w:r>
        <w:rPr>
          <w:rFonts w:ascii="Times New Roman" w:hAnsi="Times New Roman"/>
          <w:caps w:val="false"/>
          <w:smallCaps w:val="false"/>
          <w:sz w:val="20"/>
        </w:rPr>
        <w:t>. The Exercise Price and number of Warrant Shares or Prefunded Warrants issuable upon exercise of this Warrant are subject to adjustment from time to time as set forth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Stock Dividends and Splits</w:t>
      </w:r>
      <w:r>
        <w:rPr>
          <w:rFonts w:ascii="Times New Roman" w:hAnsi="Times New Roman"/>
          <w:caps w:val="false"/>
          <w:smallCaps w:val="false"/>
          <w:sz w:val="20"/>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Pro Rata Distributions</w:t>
      </w:r>
      <w:r>
        <w:rPr>
          <w:rFonts w:ascii="Times New Roman" w:hAnsi="Times New Roman"/>
          <w:caps w:val="false"/>
          <w:smallCaps w:val="false"/>
          <w:sz w:val="20"/>
        </w:rPr>
        <w:t>. In addition to any adjustments pursuant to the other subsections of this Section 9,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Original Issue Date,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Purchase Rights</w:t>
      </w:r>
      <w:r>
        <w:rPr>
          <w:rFonts w:ascii="Times New Roman" w:hAnsi="Times New Roman"/>
          <w:caps w:val="false"/>
          <w:smallCaps w:val="false"/>
          <w:sz w:val="20"/>
        </w:rPr>
        <w:t>. In addition to any adjustments pursuant to the other subsections of this Section 9, if at any time on or after the Original Issue Date, the Company grants, issues or sells any Options, Convertible Securities or rights to purchase stock, warrants, securities or other property, in each case pro rata to the record holders of any class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hAnsi="Times New Roman"/>
          <w:caps w:val="false"/>
          <w:smallCaps w:val="false"/>
          <w:sz w:val="20"/>
          <w:u w:val="single"/>
        </w:rPr>
        <w:t>Options</w:t>
      </w:r>
      <w:r>
        <w:rPr>
          <w:rFonts w:ascii="Times New Roman" w:hAnsi="Times New Roman"/>
          <w:caps w:val="false"/>
          <w:smallCaps w:val="false"/>
          <w:sz w:val="20"/>
        </w:rPr>
        <w:t>” means any rights, warrants or options to subscribe for or purchase shares of Common Stock or Convertible Securities and (ii) “</w:t>
      </w:r>
      <w:r>
        <w:rPr>
          <w:rFonts w:ascii="Times New Roman" w:hAnsi="Times New Roman"/>
          <w:caps w:val="false"/>
          <w:smallCaps w:val="false"/>
          <w:sz w:val="20"/>
          <w:u w:val="single"/>
        </w:rPr>
        <w:t>Convertible Securities</w:t>
      </w:r>
      <w:r>
        <w:rPr>
          <w:rFonts w:ascii="Times New Roman" w:hAnsi="Times New Roman"/>
          <w:caps w:val="false"/>
          <w:smallCaps w:val="false"/>
          <w:sz w:val="20"/>
        </w:rPr>
        <w:t>” mean any stock or securities (other than Options) directly or indirectly convertible into or exercisable or exchangeable for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Fundamental Transactions</w:t>
      </w:r>
      <w:r>
        <w:rPr>
          <w:rFonts w:ascii="Times New Roman" w:hAnsi="Times New Roman"/>
          <w:caps w:val="false"/>
          <w:smallCaps w:val="false"/>
          <w:sz w:val="20"/>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or Prefunded Warrants then issuable upon exercise in full of this Warrant without regard to any limitations on exercise contained herein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Number of Warrant Shares or Prefunded Warrants</w:t>
      </w:r>
      <w:r>
        <w:rPr>
          <w:rFonts w:ascii="Times New Roman" w:hAnsi="Times New Roman"/>
          <w:caps w:val="false"/>
          <w:smallCaps w:val="false"/>
          <w:sz w:val="20"/>
        </w:rPr>
        <w:t>. Simultaneously with any adjustment to the Exercise Price pursuant to paragraph (a) of this Section 9, the number of Warrant Shares or Prefunded Warrants that may be purchased upon exercise of this Warrant shall be increased or decreased proportionately, so that after such adjustment the aggregate Exercise Price payable hereunder for the increased or decreased number of Warrant Shares or Prefunded Warrants shall be the same as the aggregate Exercise Price in effect immediately prior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under this Section 9 shall be made to the nearest one tenth of one cent or the nearest share,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Notice of Adjustments</w:t>
      </w:r>
      <w:r>
        <w:rPr>
          <w:rFonts w:ascii="Times New Roman" w:hAnsi="Times New Roman"/>
          <w:caps w:val="false"/>
          <w:smallCaps w:val="false"/>
          <w:sz w:val="20"/>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Notice of Corporate Events</w:t>
      </w:r>
      <w:r>
        <w:rPr>
          <w:rFonts w:ascii="Times New Roman" w:hAnsi="Times New Roman"/>
          <w:caps w:val="false"/>
          <w:smallCaps w:val="false"/>
          <w:sz w:val="20"/>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Payment of Exercise Price</w:t>
      </w:r>
      <w:r>
        <w:rPr>
          <w:rFonts w:ascii="Times New Roman" w:hAnsi="Times New Roman"/>
          <w:caps w:val="false"/>
          <w:smallCaps w:val="false"/>
          <w:sz w:val="20"/>
        </w:rPr>
        <w:t>. Notwithstanding anything contained herein to the contrary and if and only if at the time of exercise hereof there is no effective registration statement registering, or the prospectus contained therein is not available for the issuance of the Warrant Shares or Prefunded Warrants to the Holder, then the Holder may satisfy its obligation to pay the Exercise Price through a “cashless exercise,” in which event the Company shall issue to the Holder the number of Warrant Shares or Prefunded Warrants in an exchange of securities effected pursuant to Section 3(a)(9) of the Securities Act,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 = Y [(A-B)/A]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 equals the number of Warrant Shares or Prefunded Warrants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Y” equals the total number of Warrant Shares or Prefunded Warrants with respect to which this Warrant is then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A” equals the Closing Sale Price of the shares of Common Stock (as reported by Bloomberg Financial Markets) as of the Trading Day on the date immediately preceding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B” equals the Exercise Price then in effect for the applicable Warrant Shares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Rule 144 promulgated under the Securities Act, it is intended, understood and acknowledged that the Warrant Shares or Prefunded Warrants issued in a “cashless exercise” transaction shall be deemed to have been acquired by the Holder, and the holding period for the Warrant Shares or Prefunded Warrants shall be deemed to have commenced, on the date this Warrant was originally issued (provided that the SEC continues to take the position that such treatment is proper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the Registration Statement, or another registration statement registering the issuance of the Warrant Shares or Prefunded Warrants is, for any reason, not effective at the time of exercise of this Warrant, then the Warrant may only be exercised through a cashless exercise, as set forth in this Section 10. If Warrant Shares or Prefunded Warrants are issued in such a cashless exercise, the Company acknowledges and agrees that in accordance with Section 3(a)(9) of the Securities Act of 1933, as amended, the Warrant Shares or Prefunded Warrants shall take on the registered characteristics of the Warrants being exercised, and the holding period of the Warrants being exercised may be tacked on to the holding period of the Warrant Shares 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Limitations on 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Notwithstanding anything to the contrary contained herein, the Company shall not effect the exercise of any portion of this Warrant (other than for Prefunded Warrants), and the Holder shall not have the right to exercise any portion of this Warrant (other than for Prefunded Warrants),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(the “</w:t>
      </w:r>
      <w:r>
        <w:rPr>
          <w:rFonts w:ascii="Times New Roman" w:hAnsi="Times New Roman"/>
          <w:caps w:val="false"/>
          <w:smallCaps w:val="false"/>
          <w:sz w:val="20"/>
          <w:u w:val="single"/>
        </w:rPr>
        <w:t>Maximum Percentage</w:t>
      </w:r>
      <w:r>
        <w:rPr>
          <w:rFonts w:ascii="Times New Roman" w:hAnsi="Times New Roman"/>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11(a). For purposes of this Section 11(a),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11(a)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Times New Roman" w:hAnsi="Times New Roman"/>
          <w:caps w:val="false"/>
          <w:smallCaps w:val="false"/>
          <w:sz w:val="20"/>
          <w:u w:val="single"/>
        </w:rPr>
        <w:t>Reported Outstanding Share Number</w:t>
      </w:r>
      <w:r>
        <w:rPr>
          <w:rFonts w:ascii="Times New Roman" w:hAnsi="Times New Roman"/>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or Prefunded Warrants to be purchased pursuant to such Exercise Notice (the number of shares by which such purchase is reduced, the “</w:t>
      </w:r>
      <w:r>
        <w:rPr>
          <w:rFonts w:ascii="Times New Roman" w:hAnsi="Times New Roman"/>
          <w:caps w:val="false"/>
          <w:smallCaps w:val="false"/>
          <w:sz w:val="20"/>
          <w:u w:val="single"/>
        </w:rPr>
        <w:t>Reduction Shares</w:t>
      </w:r>
      <w:r>
        <w:rPr>
          <w:rFonts w:ascii="Times New Roman" w:hAnsi="Times New Roman"/>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hAnsi="Times New Roman"/>
          <w:caps w:val="false"/>
          <w:smallCaps w:val="false"/>
          <w:sz w:val="20"/>
          <w:u w:val="single"/>
        </w:rPr>
        <w:t>Excess Shares</w:t>
      </w:r>
      <w:r>
        <w:rPr>
          <w:rFonts w:ascii="Times New Roman" w:hAnsi="Times New Roman"/>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5636(b)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 (iii) 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No Fractional Shares</w:t>
      </w:r>
      <w:r>
        <w:rPr>
          <w:rFonts w:ascii="Times New Roman" w:hAnsi="Times New Roman"/>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caps w:val="false"/>
          <w:smallCaps w:val="false"/>
          <w:sz w:val="20"/>
          <w:u w:val="single"/>
        </w:rPr>
        <w:t>Notices</w:t>
      </w:r>
      <w:r>
        <w:rPr>
          <w:rFonts w:ascii="Times New Roman" w:hAnsi="Times New Roman"/>
          <w:caps w:val="false"/>
          <w:smallCaps w:val="false"/>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in the books and records of the Transfer Agent prior to 5:30 P.M., New York City time, on a Trading Day, (ii) the next Trading Day after the date of transmission, if such notice or communication is delivered via facsimile or confirmed e-mail at the facsimile number or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Warrant Agent</w:t>
      </w:r>
      <w:r>
        <w:rPr>
          <w:rFonts w:ascii="Times New Roman" w:hAnsi="Times New Roman"/>
          <w:caps w:val="false"/>
          <w:smallCaps w:val="false"/>
          <w:sz w:val="20"/>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 Rights as a Stockholder</w:t>
      </w:r>
      <w:r>
        <w:rPr>
          <w:rFonts w:ascii="Times New Roman" w:hAnsi="Times New Roman"/>
          <w:caps w:val="false"/>
          <w:smallCaps w:val="false"/>
          <w:sz w:val="20"/>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Authorized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Amendment and Waiver</w:t>
      </w:r>
      <w:r>
        <w:rPr>
          <w:rFonts w:ascii="Times New Roman" w:hAnsi="Times New Roman"/>
          <w:caps w:val="false"/>
          <w:smallCaps w:val="false"/>
          <w:sz w:val="20"/>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Acceptance</w:t>
      </w:r>
      <w:r>
        <w:rPr>
          <w:rFonts w:ascii="Times New Roman" w:hAnsi="Times New Roman"/>
          <w:caps w:val="false"/>
          <w:smallCaps w:val="false"/>
          <w:sz w:val="20"/>
        </w:rPr>
        <w:t>. Receipt of this Warrant by the Holder shall constitute acceptance of and agreement to all of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Governing Law; Jurisdiction</w:t>
      </w:r>
      <w:r>
        <w:rPr>
          <w:rFonts w:ascii="Times New Roman" w:hAnsi="Times New Roman"/>
          <w:caps w:val="false"/>
          <w:smallCaps w:val="false"/>
          <w:sz w:val="20"/>
        </w:rPr>
        <w:t>. ALL QUESTIONS CONCERNING THE CONSTRUCTION, VALIDITY, ENFORCEMENT AND INTERPRETATION OF THIS WARRANT SHALL BE GOVERNED BY AND CONSTRUED AND ENFORCED IN ACCORDANCE WITH THE LAWS OF THE STATE OF NEVADA WITHOUT REGARD TO THE PRINCIPLES OF CONFLICTS OF LAW THEREOF. EACH OF THE COMPANY AND THE HOLDER HEREBY IRREVOCABLY SUBMITS TO THE EXCLUSIVE JURISDICTION OF THE STATE AND FEDERAL COURTS SITTING IN THE STATE OF NEVADA,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Headings</w:t>
      </w:r>
      <w:r>
        <w:rPr>
          <w:rFonts w:ascii="Times New Roman" w:hAnsi="Times New Roman"/>
          <w:caps w:val="false"/>
          <w:smallCaps w:val="false"/>
          <w:sz w:val="20"/>
        </w:rPr>
        <w:t>. The headings herein are for convenience only, do not constitute a part of this Warrant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Severability</w:t>
      </w:r>
      <w:r>
        <w:rPr>
          <w:rFonts w:ascii="Times New Roman" w:hAnsi="Times New Roman"/>
          <w:caps w:val="false"/>
          <w:smallCaps w:val="false"/>
          <w:sz w:val="20"/>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Prefunded Warrants in lieu of Common Stock</w:t>
      </w:r>
      <w:r>
        <w:rPr>
          <w:rFonts w:ascii="Times New Roman" w:hAnsi="Times New Roman"/>
          <w:caps w:val="false"/>
          <w:smallCaps w:val="false"/>
          <w:sz w:val="20"/>
        </w:rPr>
        <w:t>. Notwithstanding anything to the contrary in this Warrant, to the extent the limitations set forth in Section 11 restrict the exercise of this Warrant into Warrant Shares, the Holder may choose, in lieu of receiving Warrant Shares upon exercise of this Warrant, to receive a Prefunded Warrant in the form attached as Exhibit A hereto to purchase an identical number of shares of Common Stock it would have received upon the exercise of this Warrant for shares of Common Stock, provided, however that the Exercise Price shall instead be the Exercise Price less $0.001 per share, and the resulting issued Prefunded Warrant shall have an exercise price of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Company has caused this Warrant to be duly executed as of the Original Issue Date set out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46"/>
        <w:gridCol w:w="295"/>
        <w:gridCol w:w="4016"/>
        <w:gridCol w:w="1148"/>
      </w:tblGrid>
      <w:tr>
        <w:trPr/>
        <w:tc>
          <w:tcPr>
            <w:tcW w:w="4746" w:type="dxa"/>
            <w:tcBorders/>
          </w:tcPr>
          <w:p>
            <w:pPr>
              <w:pStyle w:val="TableContents"/>
              <w:bidi w:val="0"/>
              <w:spacing w:before="0" w:after="0"/>
              <w:ind w:left="0" w:right="0" w:hanging="0"/>
              <w:jc w:val="left"/>
              <w:rPr/>
            </w:pPr>
            <w:r>
              <w:rPr/>
              <w:t> </w:t>
            </w:r>
          </w:p>
        </w:tc>
        <w:tc>
          <w:tcPr>
            <w:tcW w:w="4311" w:type="dxa"/>
            <w:gridSpan w:val="2"/>
            <w:tcBorders/>
          </w:tcPr>
          <w:p>
            <w:pPr>
              <w:pStyle w:val="TableContents"/>
              <w:bidi w:val="0"/>
              <w:spacing w:before="0" w:after="0"/>
              <w:ind w:left="0" w:right="0" w:hanging="0"/>
              <w:jc w:val="left"/>
              <w:rPr/>
            </w:pPr>
            <w:r>
              <w:rPr/>
              <w:t> </w:t>
            </w:r>
          </w:p>
        </w:tc>
        <w:tc>
          <w:tcPr>
            <w:tcW w:w="1148" w:type="dxa"/>
            <w:tcBorders/>
          </w:tcPr>
          <w:p>
            <w:pPr>
              <w:pStyle w:val="TableContents"/>
              <w:bidi w:val="0"/>
              <w:spacing w:before="0" w:after="0"/>
              <w:ind w:left="0" w:right="0" w:hanging="0"/>
              <w:jc w:val="left"/>
              <w:rPr/>
            </w:pPr>
            <w:r>
              <w:rPr/>
              <w:t> </w:t>
            </w:r>
          </w:p>
        </w:tc>
      </w:tr>
      <w:tr>
        <w:trPr/>
        <w:tc>
          <w:tcPr>
            <w:tcW w:w="4746" w:type="dxa"/>
            <w:tcBorders/>
          </w:tcPr>
          <w:p>
            <w:pPr>
              <w:pStyle w:val="TableContents"/>
              <w:bidi w:val="0"/>
              <w:spacing w:before="0" w:after="0"/>
              <w:ind w:left="0" w:right="0" w:hanging="0"/>
              <w:jc w:val="left"/>
              <w:rPr/>
            </w:pPr>
            <w:r>
              <w:rPr/>
              <w:t> </w:t>
            </w:r>
          </w:p>
        </w:tc>
        <w:tc>
          <w:tcPr>
            <w:tcW w:w="295" w:type="dxa"/>
            <w:tcBorders/>
          </w:tcPr>
          <w:p>
            <w:pPr>
              <w:pStyle w:val="TableContents"/>
              <w:bidi w:val="0"/>
              <w:spacing w:before="0" w:after="0"/>
              <w:ind w:left="0" w:right="0" w:hanging="0"/>
              <w:jc w:val="left"/>
              <w:rPr/>
            </w:pPr>
            <w:r>
              <w:rPr/>
              <w:t> </w:t>
            </w:r>
          </w:p>
        </w:tc>
        <w:tc>
          <w:tcPr>
            <w:tcW w:w="4016"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VISTAGEN THERAPEUTICS,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1148" w:type="dxa"/>
            <w:tcBorders/>
          </w:tcPr>
          <w:p>
            <w:pPr>
              <w:pStyle w:val="TableContents"/>
              <w:bidi w:val="0"/>
              <w:spacing w:before="0" w:after="0"/>
              <w:ind w:left="0" w:right="0" w:hanging="0"/>
              <w:jc w:val="left"/>
              <w:rPr/>
            </w:pPr>
            <w:r>
              <w:rPr/>
              <w:t> </w:t>
            </w:r>
          </w:p>
        </w:tc>
      </w:tr>
      <w:tr>
        <w:trPr/>
        <w:tc>
          <w:tcPr>
            <w:tcW w:w="4746" w:type="dxa"/>
            <w:tcBorders/>
          </w:tcPr>
          <w:p>
            <w:pPr>
              <w:pStyle w:val="TableContents"/>
              <w:bidi w:val="0"/>
              <w:spacing w:before="0" w:after="0"/>
              <w:ind w:left="0" w:right="0" w:hanging="0"/>
              <w:jc w:val="left"/>
              <w:rPr/>
            </w:pPr>
            <w:r>
              <w:rPr/>
              <w:t> </w:t>
            </w:r>
          </w:p>
        </w:tc>
        <w:tc>
          <w:tcPr>
            <w:tcW w:w="295" w:type="dxa"/>
            <w:tcBorders/>
          </w:tcPr>
          <w:p>
            <w:pPr>
              <w:pStyle w:val="TableContents"/>
              <w:bidi w:val="0"/>
              <w:spacing w:before="0" w:after="0"/>
              <w:ind w:left="0" w:right="0" w:hanging="0"/>
              <w:jc w:val="left"/>
              <w:rPr/>
            </w:pPr>
            <w:r>
              <w:rPr/>
              <w:t> </w:t>
            </w:r>
          </w:p>
        </w:tc>
        <w:tc>
          <w:tcPr>
            <w:tcW w:w="4016" w:type="dxa"/>
            <w:tcBorders/>
            <w:vAlign w:val="bottom"/>
          </w:tcPr>
          <w:p>
            <w:pPr>
              <w:pStyle w:val="TableContents"/>
              <w:bidi w:val="0"/>
              <w:spacing w:before="0" w:after="0"/>
              <w:ind w:left="0" w:right="0" w:hanging="0"/>
              <w:jc w:val="left"/>
              <w:rPr/>
            </w:pPr>
            <w:r>
              <w:rPr/>
              <w:t> </w:t>
            </w:r>
          </w:p>
        </w:tc>
        <w:tc>
          <w:tcPr>
            <w:tcW w:w="1148"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Tranche 1 Warrant]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executed by the Holder to purchase shares of Common Stock or Prefunded Warrants under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is the Holder of Warrant No. [ ● ] (the “</w:t>
            </w:r>
            <w:r>
              <w:rPr>
                <w:rFonts w:ascii="Times New Roman;Times;serif" w:hAnsi="Times New Roman;Times;serif"/>
                <w:sz w:val="20"/>
                <w:u w:val="single"/>
              </w:rPr>
              <w:t>Warrant</w:t>
            </w:r>
            <w:r>
              <w:rPr>
                <w:rFonts w:ascii="Times New Roman;Times;serif" w:hAnsi="Times New Roman;Times;serif"/>
                <w:sz w:val="20"/>
              </w:rPr>
              <w:t>”) issued by Vistagen Therapeutics, Inc., a Nevada corporation (the “</w:t>
            </w:r>
            <w:r>
              <w:rPr>
                <w:rFonts w:ascii="Times New Roman;Times;serif" w:hAnsi="Times New Roman;Times;serif"/>
                <w:sz w:val="20"/>
                <w:u w:val="single"/>
              </w:rPr>
              <w:t>Company</w:t>
            </w:r>
            <w:r>
              <w:rPr>
                <w:rFonts w:ascii="Times New Roman;Times;serif" w:hAnsi="Times New Roman;Times;serif"/>
                <w:sz w:val="20"/>
              </w:rPr>
              <w:t>”). Capitalized terms used herein and not otherwise defined herein have the respective meanings set forth in the Warrant.</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hereby exercises its right to purchase Warrant Shares or Prefunded Warrants pursuant to the Warrant.</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245"/>
        <w:gridCol w:w="68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Holder intends that payment of the Exercise Price shall be made as (check one):</w:t>
            </w:r>
          </w:p>
        </w:tc>
      </w:tr>
    </w:tbl>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60"/>
        <w:gridCol w:w="1430"/>
      </w:tblGrid>
      <w:tr>
        <w:trPr/>
        <w:tc>
          <w:tcPr>
            <w:tcW w:w="60"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Cash Exercise</w:t>
            </w:r>
          </w:p>
        </w:tc>
      </w:tr>
    </w:tbl>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60"/>
        <w:gridCol w:w="4550"/>
      </w:tblGrid>
      <w:tr>
        <w:trPr/>
        <w:tc>
          <w:tcPr>
            <w:tcW w:w="60" w:type="dxa"/>
            <w:tcBorders/>
            <w:vAlign w:val="center"/>
          </w:tcPr>
          <w:p>
            <w:pPr>
              <w:pStyle w:val="TableContents"/>
              <w:bidi w:val="0"/>
              <w:spacing w:before="0" w:after="0"/>
              <w:ind w:left="0" w:right="0" w:hanging="0"/>
              <w:jc w:val="left"/>
              <w:rPr/>
            </w:pPr>
            <w:r>
              <w:rPr/>
              <w:t> </w:t>
            </w:r>
          </w:p>
        </w:tc>
        <w:tc>
          <w:tcPr>
            <w:tcW w:w="455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Cashless Exercise” under Section 10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Holder has elected a Cash Exercise, the Holder shall pay the sum of $[ ● ] in immediately available funds to the Company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set forth in paragraph (6), pursuant to this Exercise Notice, the Company shall deliver to the Holder Warrant Shares or Prefunded Warrants determined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9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Holder hereby elects to receive a Prefunded Warrant to purchase an identical number of shares of Common Stock that it would receive if it had exercised this Warrant for shares of Common Stock in lieu of receiving the Warrant Shares in accordance with this Warrant.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or Section 11(b), as applicable, of the Warrant to which this notice relates.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of Holder: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must conform in all respects to name of Holder as specified on the face of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Schedule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EXHIBIT A</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PRE-FUNDED WARRANT TO PURCHASE COMMON STOCK</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370"/>
        <w:gridCol w:w="60"/>
        <w:gridCol w:w="29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No. [ ●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Number of Shares: [ ●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(subject to adjustment)</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Original Issue Date: October 4,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 a Nevada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hereby certifies that, for good and valuable consideration, the receipt and sufficiency of which are hereby acknowledged, [ ● ] or its permitted registered assigns (the “Holder”), is entitled, subject to the terms set forth below, to purchase from the Company up to a total of [ ● ] shares of common stock, $0.001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of the Company (each such share, a “</w:t>
      </w:r>
      <w:r>
        <w:rPr>
          <w:rFonts w:ascii="Times New Roman" w:hAnsi="Times New Roman"/>
          <w:caps w:val="false"/>
          <w:smallCaps w:val="false"/>
          <w:sz w:val="20"/>
          <w:u w:val="single"/>
        </w:rPr>
        <w:t>Warrant Share</w:t>
      </w:r>
      <w:r>
        <w:rPr>
          <w:rFonts w:ascii="Times New Roman" w:hAnsi="Times New Roman"/>
          <w:caps w:val="false"/>
          <w:smallCaps w:val="false"/>
          <w:sz w:val="20"/>
        </w:rPr>
        <w:t>” and all such shares, the “</w:t>
      </w:r>
      <w:r>
        <w:rPr>
          <w:rFonts w:ascii="Times New Roman" w:hAnsi="Times New Roman"/>
          <w:caps w:val="false"/>
          <w:smallCaps w:val="false"/>
          <w:sz w:val="20"/>
          <w:u w:val="single"/>
        </w:rPr>
        <w:t>Warrant Shares</w:t>
      </w:r>
      <w:r>
        <w:rPr>
          <w:rFonts w:ascii="Times New Roman" w:hAnsi="Times New Roman"/>
          <w:caps w:val="false"/>
          <w:smallCaps w:val="false"/>
          <w:sz w:val="20"/>
        </w:rPr>
        <w:t>”) at an exercise price per share equal to $0.001 per share (as adjusted from time to time as provided in Section 9 herein, the “</w:t>
      </w:r>
      <w:r>
        <w:rPr>
          <w:rFonts w:ascii="Times New Roman" w:hAnsi="Times New Roman"/>
          <w:caps w:val="false"/>
          <w:smallCaps w:val="false"/>
          <w:sz w:val="20"/>
          <w:u w:val="single"/>
        </w:rPr>
        <w:t>Exercise Price</w:t>
      </w:r>
      <w:r>
        <w:rPr>
          <w:rFonts w:ascii="Times New Roman" w:hAnsi="Times New Roman"/>
          <w:caps w:val="false"/>
          <w:smallCaps w:val="false"/>
          <w:sz w:val="20"/>
        </w:rPr>
        <w:t>”), upon surrender of this Warrant to Purchase Common Stock (including any Warrants to Purchase Common Stock issued in exchange, transfer or replacement hereof, the “</w:t>
      </w:r>
      <w:r>
        <w:rPr>
          <w:rFonts w:ascii="Times New Roman" w:hAnsi="Times New Roman"/>
          <w:caps w:val="false"/>
          <w:smallCaps w:val="false"/>
          <w:sz w:val="20"/>
          <w:u w:val="single"/>
        </w:rPr>
        <w:t>Warrant</w:t>
      </w:r>
      <w:r>
        <w:rPr>
          <w:rFonts w:ascii="Times New Roman" w:hAnsi="Times New Roman"/>
          <w:caps w:val="false"/>
          <w:smallCaps w:val="false"/>
          <w:sz w:val="20"/>
        </w:rPr>
        <w:t>”), and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Definitions</w:t>
      </w:r>
      <w:r>
        <w:rPr>
          <w:rFonts w:ascii="Times New Roman" w:hAnsi="Times New Roman"/>
          <w:caps w:val="false"/>
          <w:smallCaps w:val="false"/>
          <w:sz w:val="20"/>
        </w:rPr>
        <w:t>. For purposes of this Warrant,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Attribution Parties</w:t>
      </w:r>
      <w:r>
        <w:rPr>
          <w:rFonts w:ascii="Times New Roman" w:hAnsi="Times New Roman"/>
          <w:caps w:val="false"/>
          <w:smallCaps w:val="false"/>
          <w:sz w:val="20"/>
        </w:rPr>
        <w:t>” means, collectively, the following Persons and entities: (i) any direct or indirect Affiliates of the Holder, (ii) any Person acting or who could be deemed to be acting as a group together with the Holder or any of the foregoing and (iii) any other Persons whose beneficial ownership of the Company’s Common Stock would or could be aggregated with the Holder’s and the other Attribution Parties for purposes of Section 13(d) or Section 16 of the 1934 Act. For clarity, the purpose of the foregoing is to subject collectively the Holder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Closing Sale Price</w:t>
      </w:r>
      <w:r>
        <w:rPr>
          <w:rFonts w:ascii="Times New Roman" w:hAnsi="Times New Roman"/>
          <w:caps w:val="false"/>
          <w:smallCaps w:val="false"/>
          <w:sz w:val="20"/>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Principal Trading Market</w:t>
      </w:r>
      <w:r>
        <w:rPr>
          <w:rFonts w:ascii="Times New Roman" w:hAnsi="Times New Roman"/>
          <w:caps w:val="false"/>
          <w:smallCaps w:val="false"/>
          <w:sz w:val="20"/>
        </w:rPr>
        <w:t>” means the trading market on which the Common Stock is primarily listed on and quoted for trading, which, as of the Original Issue Date shall be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means the Company’s Registration Statement on Form S-3 (File No. 333-254299), declared effective on March 26,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SEC</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Trading Day</w:t>
      </w:r>
      <w:r>
        <w:rPr>
          <w:rFonts w:ascii="Times New Roman" w:hAnsi="Times New Roman"/>
          <w:caps w:val="false"/>
          <w:smallCaps w:val="false"/>
          <w:sz w:val="20"/>
        </w:rPr>
        <w:t>” means any weekday on which the Principal Trading Market is normally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Transfer Agent</w:t>
      </w:r>
      <w:r>
        <w:rPr>
          <w:rFonts w:ascii="Times New Roman" w:hAnsi="Times New Roman"/>
          <w:caps w:val="false"/>
          <w:smallCaps w:val="false"/>
          <w:sz w:val="20"/>
        </w:rPr>
        <w:t>” means Computershare Trust Company, N.A., the Company’s transfer agent and registrar for the Common Stock, and any successor appointed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Registration of Warrants</w:t>
      </w:r>
      <w:r>
        <w:rPr>
          <w:rFonts w:ascii="Times New Roman" w:hAnsi="Times New Roman"/>
          <w:caps w:val="false"/>
          <w:smallCaps w:val="false"/>
          <w:sz w:val="20"/>
        </w:rPr>
        <w:t>. The Company shall register this Warrant, upon records to be maintained by the Company for that purpose (the “Warrant Register”),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Registration of Transfers</w:t>
      </w:r>
      <w:r>
        <w:rPr>
          <w:rFonts w:ascii="Times New Roman" w:hAnsi="Times New Roman"/>
          <w:caps w:val="false"/>
          <w:smallCaps w:val="false"/>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Upon any such registration or transfer, a new warrant to purchase Common Stock in substantially the form of this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Exercise of Warrants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All or any part of this Warrant shall be exercisable by the registered Holder in any manner permitted by Section 10 of this Warrant at any time and from time to time on or after the Original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Holder may exercise this Warrant by delivering to the Company (i) an exercise notice, in the form attached as Schedule A hereto (the “</w:t>
      </w:r>
      <w:r>
        <w:rPr>
          <w:rFonts w:ascii="Times New Roman" w:hAnsi="Times New Roman"/>
          <w:caps w:val="false"/>
          <w:smallCaps w:val="false"/>
          <w:sz w:val="20"/>
          <w:u w:val="single"/>
        </w:rPr>
        <w:t>Exercise Notice</w:t>
      </w:r>
      <w:r>
        <w:rPr>
          <w:rFonts w:ascii="Times New Roman" w:hAnsi="Times New Roman"/>
          <w:caps w:val="false"/>
          <w:smallCaps w:val="false"/>
          <w:sz w:val="20"/>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hAnsi="Times New Roman"/>
          <w:caps w:val="false"/>
          <w:smallCaps w:val="false"/>
          <w:sz w:val="20"/>
          <w:u w:val="single"/>
        </w:rPr>
        <w:t>Exercise Date</w:t>
      </w:r>
      <w:r>
        <w:rPr>
          <w:rFonts w:ascii="Times New Roman" w:hAnsi="Times New Roman"/>
          <w:caps w:val="false"/>
          <w:smallCaps w:val="false"/>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Delivery of Warrant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caps w:val="false"/>
          <w:smallCaps w:val="false"/>
          <w:sz w:val="20"/>
          <w:u w:val="single"/>
        </w:rPr>
        <w:t>DTC</w:t>
      </w:r>
      <w:r>
        <w:rPr>
          <w:rFonts w:ascii="Times New Roman" w:hAnsi="Times New Roman"/>
          <w:caps w:val="false"/>
          <w:smallCaps w:val="false"/>
          <w:sz w:val="20"/>
        </w:rPr>
        <w:t>”) through its Deposit Withdrawal Agent Commission system, or if the Transfer Agent is not participating in the Fast Automated Securities Transfer Program (FAST)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delivery of the certificates evidencing such Warrant Shares,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caps w:val="false"/>
          <w:smallCaps w:val="false"/>
          <w:sz w:val="20"/>
          <w:u w:val="single"/>
        </w:rPr>
        <w:t>Section 5(a)</w:t>
      </w:r>
      <w:r>
        <w:rPr>
          <w:rFonts w:ascii="Times New Roman" w:hAnsi="Times New Roman"/>
          <w:caps w:val="false"/>
          <w:smallCaps w:val="false"/>
          <w:sz w:val="20"/>
        </w:rPr>
        <w:t xml:space="preserve"> or fails to credit the Holder’s or its designee’s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over the product of (A) the number of shares of Common Stock purchased in the Buy-In, times (B) the Closing Sale Price of a share of Common Stock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Charges, Taxes and Expenses</w:t>
      </w:r>
      <w:r>
        <w:rPr>
          <w:rFonts w:ascii="Times New Roman" w:hAnsi="Times New Roman"/>
          <w:caps w:val="false"/>
          <w:smallCaps w:val="false"/>
          <w:sz w:val="20"/>
        </w:rPr>
        <w:t>.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provided, however,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Replacement of Warrant</w:t>
      </w:r>
      <w:r>
        <w:rPr>
          <w:rFonts w:ascii="Times New Roman" w:hAnsi="Times New Roman"/>
          <w:caps w:val="false"/>
          <w:smallCaps w:val="false"/>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Reservation of Warrant Shares</w:t>
      </w:r>
      <w:r>
        <w:rPr>
          <w:rFonts w:ascii="Times New Roman" w:hAnsi="Times New Roman"/>
          <w:caps w:val="false"/>
          <w:smallCaps w:val="false"/>
          <w:sz w:val="20"/>
        </w:rPr>
        <w:t>.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“Authorized Share Failure.” The Company covenants that all Warrant Shares so issuable and deliverable shall, upon issuance and the payment of the applicable Exercise Price in accordance with the terms hereof, be duly and validly authorized, issued and fully paid and non-assessable. The Company will take all commercially reasonable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one hundred twenty (120)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Certain Adjustments</w:t>
      </w:r>
      <w:r>
        <w:rPr>
          <w:rFonts w:ascii="Times New Roman" w:hAnsi="Times New Roman"/>
          <w:caps w:val="false"/>
          <w:smallCaps w:val="false"/>
          <w:sz w:val="20"/>
        </w:rPr>
        <w:t>. The Exercise Price and number of Warrant Shares issuable upon exercise of this Warrant are subject to adjustment from time to time as set forth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Stock Dividends and Splits</w:t>
      </w:r>
      <w:r>
        <w:rPr>
          <w:rFonts w:ascii="Times New Roman" w:hAnsi="Times New Roman"/>
          <w:caps w:val="false"/>
          <w:smallCaps w:val="false"/>
          <w:sz w:val="20"/>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Pro Rata Distributions</w:t>
      </w:r>
      <w:r>
        <w:rPr>
          <w:rFonts w:ascii="Times New Roman" w:hAnsi="Times New Roman"/>
          <w:caps w:val="false"/>
          <w:smallCaps w:val="false"/>
          <w:sz w:val="20"/>
        </w:rPr>
        <w:t>. In addition to any adjustments pursuant to the other subsections of this Section 9,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Original Issue Date,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Purchase Rights</w:t>
      </w:r>
      <w:r>
        <w:rPr>
          <w:rFonts w:ascii="Times New Roman" w:hAnsi="Times New Roman"/>
          <w:caps w:val="false"/>
          <w:smallCaps w:val="false"/>
          <w:sz w:val="20"/>
        </w:rPr>
        <w:t>. In addition to any adjustments pursuant to the other subsections of this Section 9, if at any time on or after the Original Issue Date, the Company grants, issues or sells any Options, Convertible Securities or rights to purchase stock, warrants, securities or other property, in each case pro rata to the record holders of any class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hAnsi="Times New Roman"/>
          <w:caps w:val="false"/>
          <w:smallCaps w:val="false"/>
          <w:sz w:val="20"/>
          <w:u w:val="single"/>
        </w:rPr>
        <w:t>Options</w:t>
      </w:r>
      <w:r>
        <w:rPr>
          <w:rFonts w:ascii="Times New Roman" w:hAnsi="Times New Roman"/>
          <w:caps w:val="false"/>
          <w:smallCaps w:val="false"/>
          <w:sz w:val="20"/>
        </w:rPr>
        <w:t>” means any rights, warrants or options to subscribe for or purchase shares of Common Stock or Convertible Securities and (ii) “</w:t>
      </w:r>
      <w:r>
        <w:rPr>
          <w:rFonts w:ascii="Times New Roman" w:hAnsi="Times New Roman"/>
          <w:caps w:val="false"/>
          <w:smallCaps w:val="false"/>
          <w:sz w:val="20"/>
          <w:u w:val="single"/>
        </w:rPr>
        <w:t>Convertible Securities</w:t>
      </w:r>
      <w:r>
        <w:rPr>
          <w:rFonts w:ascii="Times New Roman" w:hAnsi="Times New Roman"/>
          <w:caps w:val="false"/>
          <w:smallCaps w:val="false"/>
          <w:sz w:val="20"/>
        </w:rPr>
        <w:t>” mean any stock or securities (other than Options) directly or indirectly convertible into or exercisable or exchangeable for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Fundamental Transactions</w:t>
      </w:r>
      <w:r>
        <w:rPr>
          <w:rFonts w:ascii="Times New Roman" w:hAnsi="Times New Roman"/>
          <w:caps w:val="false"/>
          <w:smallCaps w:val="false"/>
          <w:sz w:val="20"/>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Number of Warrant Shares</w:t>
      </w:r>
      <w:r>
        <w:rPr>
          <w:rFonts w:ascii="Times New Roman" w:hAnsi="Times New Roman"/>
          <w:caps w:val="false"/>
          <w:smallCaps w:val="false"/>
          <w:sz w:val="20"/>
        </w:rPr>
        <w:t>. Simultaneously with any adjustment to the Exercise Price pursuant to paragraph (a) of this Section 9,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under this Section 9 shall be made to the nearest one tenth of one cent or the nearest share,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Notice of Adjustments</w:t>
      </w:r>
      <w:r>
        <w:rPr>
          <w:rFonts w:ascii="Times New Roman" w:hAnsi="Times New Roman"/>
          <w:caps w:val="false"/>
          <w:smallCaps w:val="false"/>
          <w:sz w:val="20"/>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Notice of Corporate Events</w:t>
      </w:r>
      <w:r>
        <w:rPr>
          <w:rFonts w:ascii="Times New Roman" w:hAnsi="Times New Roman"/>
          <w:caps w:val="false"/>
          <w:smallCaps w:val="false"/>
          <w:sz w:val="20"/>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Payment of Exercise Price</w:t>
      </w:r>
      <w:r>
        <w:rPr>
          <w:rFonts w:ascii="Times New Roman" w:hAnsi="Times New Roman"/>
          <w:caps w:val="false"/>
          <w:smallCaps w:val="false"/>
          <w:sz w:val="20"/>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 = Y [(A-B)/A]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 equals the number of Warrant Shares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Y” equals the total number of Warrant Shares with respect to which this Warrant is then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A” equals the Closing Sale Price of the shares of Common Stock (as reported by Bloomberg Financial Markets) as of the Trading Day on the date immediately preceding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B” equals the Exercise Price then in effect for the applicable Warrant Shares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SEC continues to take the position that such treatment is proper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the Registration Statement, or another registration statement registering the issuance of the Warrant Shares is, for any reason, not effective at the time of exercise of this Warrant, then the Warrant may only be exercised through a cashless exercise, as set forth in this Section 10. If Warrant Shares are issued in such a cashless exercise, the Company acknowledges and agrees that in accordance with Section 3(a)(9) of the Securities Act of 1933, as amended, the Warrant Shares shall take on the registered characteristics of the Warrants being exercised, and the holding period of the Warrants being exercised may be tacked on to the holding period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Limitations on 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(the “</w:t>
      </w:r>
      <w:r>
        <w:rPr>
          <w:rFonts w:ascii="Times New Roman" w:hAnsi="Times New Roman"/>
          <w:caps w:val="false"/>
          <w:smallCaps w:val="false"/>
          <w:sz w:val="20"/>
          <w:u w:val="single"/>
        </w:rPr>
        <w:t>Maximum Percentage</w:t>
      </w:r>
      <w:r>
        <w:rPr>
          <w:rFonts w:ascii="Times New Roman" w:hAnsi="Times New Roman"/>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11(a). For purposes of this Section 11(a),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11(a)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Times New Roman" w:hAnsi="Times New Roman"/>
          <w:caps w:val="false"/>
          <w:smallCaps w:val="false"/>
          <w:sz w:val="20"/>
          <w:u w:val="single"/>
        </w:rPr>
        <w:t>Reported Outstanding Share Number</w:t>
      </w:r>
      <w:r>
        <w:rPr>
          <w:rFonts w:ascii="Times New Roman" w:hAnsi="Times New Roman"/>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caps w:val="false"/>
          <w:smallCaps w:val="false"/>
          <w:sz w:val="20"/>
          <w:u w:val="single"/>
        </w:rPr>
        <w:t>Reduction Shares</w:t>
      </w:r>
      <w:r>
        <w:rPr>
          <w:rFonts w:ascii="Times New Roman" w:hAnsi="Times New Roman"/>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hAnsi="Times New Roman"/>
          <w:caps w:val="false"/>
          <w:smallCaps w:val="false"/>
          <w:sz w:val="20"/>
          <w:u w:val="single"/>
        </w:rPr>
        <w:t>Excess Shares</w:t>
      </w:r>
      <w:r>
        <w:rPr>
          <w:rFonts w:ascii="Times New Roman" w:hAnsi="Times New Roman"/>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5636(b)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 (iii) 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No Fractional Shares</w:t>
      </w:r>
      <w:r>
        <w:rPr>
          <w:rFonts w:ascii="Times New Roman" w:hAnsi="Times New Roman"/>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caps w:val="false"/>
          <w:smallCaps w:val="false"/>
          <w:sz w:val="20"/>
          <w:u w:val="single"/>
        </w:rPr>
        <w:t>Notices</w:t>
      </w:r>
      <w:r>
        <w:rPr>
          <w:rFonts w:ascii="Times New Roman" w:hAnsi="Times New Roman"/>
          <w:caps w:val="false"/>
          <w:smallCaps w:val="false"/>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in the books and records of the Transfer Agent prior to 5:30 P.M., New York City time, on a Trading Day, (ii) the next Trading Day after the date of transmission, if such notice or communication is delivered via facsimile or confirmed e-mail at the facsimile number or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Warrant Agent</w:t>
      </w:r>
      <w:r>
        <w:rPr>
          <w:rFonts w:ascii="Times New Roman" w:hAnsi="Times New Roman"/>
          <w:caps w:val="false"/>
          <w:smallCaps w:val="false"/>
          <w:sz w:val="20"/>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 Rights as a Stockholder</w:t>
      </w:r>
      <w:r>
        <w:rPr>
          <w:rFonts w:ascii="Times New Roman" w:hAnsi="Times New Roman"/>
          <w:caps w:val="false"/>
          <w:smallCaps w:val="false"/>
          <w:sz w:val="20"/>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Authorized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Amendment and Waiver</w:t>
      </w:r>
      <w:r>
        <w:rPr>
          <w:rFonts w:ascii="Times New Roman" w:hAnsi="Times New Roman"/>
          <w:caps w:val="false"/>
          <w:smallCaps w:val="false"/>
          <w:sz w:val="20"/>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Acceptance</w:t>
      </w:r>
      <w:r>
        <w:rPr>
          <w:rFonts w:ascii="Times New Roman" w:hAnsi="Times New Roman"/>
          <w:caps w:val="false"/>
          <w:smallCaps w:val="false"/>
          <w:sz w:val="20"/>
        </w:rPr>
        <w:t>. Receipt of this Warrant by the Holder shall constitute acceptance of and agreement to all of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Governing Law; Jurisdiction</w:t>
      </w:r>
      <w:r>
        <w:rPr>
          <w:rFonts w:ascii="Times New Roman" w:hAnsi="Times New Roman"/>
          <w:caps w:val="false"/>
          <w:smallCaps w:val="false"/>
          <w:sz w:val="20"/>
        </w:rPr>
        <w:t>. ALL QUESTIONS CONCERNING THE CONSTRUCTION, VALIDITY, ENFORCEMENT AND INTERPRETATION OF THIS WARRANT SHALL BE GOVERNED BY AND CONSTRUED AND ENFORCED IN ACCORDANCE WITH THE LAWS OF THE STATE OF NEVADA WITHOUT REGARD TO THE PRINCIPLES OF CONFLICTS OF LAW THEREOF. EACH OF THE COMPANY AND THE HOLDER HEREBY IRREVOCABLY SUBMITS TO THE EXCLUSIVE JURISDICTION OF THE STATE AND FEDERAL COURTS SITTING IN THE STATE OF NEVADA,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Headings</w:t>
      </w:r>
      <w:r>
        <w:rPr>
          <w:rFonts w:ascii="Times New Roman" w:hAnsi="Times New Roman"/>
          <w:caps w:val="false"/>
          <w:smallCaps w:val="false"/>
          <w:sz w:val="20"/>
        </w:rPr>
        <w:t>. The headings herein are for convenience only, do not constitute a part of this Warrant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Severability</w:t>
      </w:r>
      <w:r>
        <w:rPr>
          <w:rFonts w:ascii="Times New Roman" w:hAnsi="Times New Roman"/>
          <w:caps w:val="false"/>
          <w:smallCaps w:val="false"/>
          <w:sz w:val="20"/>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Company has caused this Pre-Funded Warrant to be duly executed as of the Original Issue Date set out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10"/>
        <w:gridCol w:w="306"/>
        <w:gridCol w:w="3680"/>
        <w:gridCol w:w="1209"/>
      </w:tblGrid>
      <w:tr>
        <w:trPr/>
        <w:tc>
          <w:tcPr>
            <w:tcW w:w="5010" w:type="dxa"/>
            <w:tcBorders/>
          </w:tcPr>
          <w:p>
            <w:pPr>
              <w:pStyle w:val="TableContents"/>
              <w:bidi w:val="0"/>
              <w:spacing w:before="0" w:after="0"/>
              <w:ind w:left="0" w:right="0" w:hanging="0"/>
              <w:jc w:val="left"/>
              <w:rPr/>
            </w:pPr>
            <w:r>
              <w:rPr/>
              <w:t> </w:t>
            </w:r>
          </w:p>
        </w:tc>
        <w:tc>
          <w:tcPr>
            <w:tcW w:w="3986" w:type="dxa"/>
            <w:gridSpan w:val="2"/>
            <w:tcBorders/>
          </w:tcPr>
          <w:p>
            <w:pPr>
              <w:pStyle w:val="TableContents"/>
              <w:bidi w:val="0"/>
              <w:spacing w:before="0" w:after="0"/>
              <w:ind w:left="0" w:right="0" w:hanging="0"/>
              <w:jc w:val="left"/>
              <w:rPr/>
            </w:pPr>
            <w:r>
              <w:rPr/>
              <w:t> </w:t>
            </w:r>
          </w:p>
        </w:tc>
        <w:tc>
          <w:tcPr>
            <w:tcW w:w="1209" w:type="dxa"/>
            <w:tcBorders/>
          </w:tcPr>
          <w:p>
            <w:pPr>
              <w:pStyle w:val="TableContents"/>
              <w:bidi w:val="0"/>
              <w:spacing w:before="0" w:after="0"/>
              <w:ind w:left="0" w:right="0" w:hanging="0"/>
              <w:jc w:val="left"/>
              <w:rPr/>
            </w:pPr>
            <w:r>
              <w:rPr/>
              <w:t> </w:t>
            </w:r>
          </w:p>
        </w:tc>
      </w:tr>
      <w:tr>
        <w:trPr/>
        <w:tc>
          <w:tcPr>
            <w:tcW w:w="5010" w:type="dxa"/>
            <w:tcBorders/>
          </w:tcPr>
          <w:p>
            <w:pPr>
              <w:pStyle w:val="TableContents"/>
              <w:bidi w:val="0"/>
              <w:spacing w:before="0" w:after="0"/>
              <w:ind w:left="0" w:right="0" w:hanging="0"/>
              <w:jc w:val="left"/>
              <w:rPr/>
            </w:pPr>
            <w:r>
              <w:rPr/>
              <w:t> </w:t>
            </w:r>
          </w:p>
        </w:tc>
        <w:tc>
          <w:tcPr>
            <w:tcW w:w="306" w:type="dxa"/>
            <w:tcBorders/>
          </w:tcPr>
          <w:p>
            <w:pPr>
              <w:pStyle w:val="TableContents"/>
              <w:bidi w:val="0"/>
              <w:spacing w:before="0" w:after="0"/>
              <w:ind w:left="0" w:right="0" w:hanging="0"/>
              <w:jc w:val="left"/>
              <w:rPr/>
            </w:pPr>
            <w:r>
              <w:rPr/>
              <w:t> </w:t>
            </w:r>
          </w:p>
        </w:tc>
        <w:tc>
          <w:tcPr>
            <w:tcW w:w="3680"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VISTAGEN THERAPEUTICS,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1209" w:type="dxa"/>
            <w:tcBorders/>
          </w:tcPr>
          <w:p>
            <w:pPr>
              <w:pStyle w:val="TableContents"/>
              <w:bidi w:val="0"/>
              <w:spacing w:before="0" w:after="0"/>
              <w:ind w:left="0" w:right="0" w:hanging="0"/>
              <w:jc w:val="left"/>
              <w:rPr/>
            </w:pPr>
            <w:r>
              <w:rPr/>
              <w:t> </w:t>
            </w:r>
          </w:p>
        </w:tc>
      </w:tr>
      <w:tr>
        <w:trPr/>
        <w:tc>
          <w:tcPr>
            <w:tcW w:w="5010" w:type="dxa"/>
            <w:tcBorders/>
          </w:tcPr>
          <w:p>
            <w:pPr>
              <w:pStyle w:val="TableContents"/>
              <w:bidi w:val="0"/>
              <w:spacing w:before="0" w:after="0"/>
              <w:ind w:left="0" w:right="0" w:hanging="0"/>
              <w:jc w:val="left"/>
              <w:rPr/>
            </w:pPr>
            <w:r>
              <w:rPr/>
              <w:t> </w:t>
            </w:r>
          </w:p>
        </w:tc>
        <w:tc>
          <w:tcPr>
            <w:tcW w:w="306" w:type="dxa"/>
            <w:tcBorders/>
          </w:tcPr>
          <w:p>
            <w:pPr>
              <w:pStyle w:val="TableContents"/>
              <w:bidi w:val="0"/>
              <w:spacing w:before="0" w:after="0"/>
              <w:ind w:left="0" w:right="0" w:hanging="0"/>
              <w:jc w:val="left"/>
              <w:rPr/>
            </w:pPr>
            <w:r>
              <w:rPr/>
              <w:t> </w:t>
            </w:r>
          </w:p>
        </w:tc>
        <w:tc>
          <w:tcPr>
            <w:tcW w:w="3680" w:type="dxa"/>
            <w:tcBorders/>
            <w:vAlign w:val="bottom"/>
          </w:tcPr>
          <w:p>
            <w:pPr>
              <w:pStyle w:val="TableContents"/>
              <w:bidi w:val="0"/>
              <w:spacing w:before="0" w:after="0"/>
              <w:ind w:left="0" w:right="0" w:hanging="0"/>
              <w:jc w:val="left"/>
              <w:rPr/>
            </w:pPr>
            <w:r>
              <w:rPr/>
              <w:t> </w:t>
            </w:r>
          </w:p>
        </w:tc>
        <w:tc>
          <w:tcPr>
            <w:tcW w:w="1209"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executed by the Holder to purchase shares of Common Stock under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is the Holder of Warrant No. [ ● ] (the “</w:t>
            </w:r>
            <w:r>
              <w:rPr>
                <w:rFonts w:ascii="Times New Roman;Times;serif" w:hAnsi="Times New Roman;Times;serif"/>
                <w:sz w:val="20"/>
                <w:u w:val="single"/>
              </w:rPr>
              <w:t>Warrant</w:t>
            </w:r>
            <w:r>
              <w:rPr>
                <w:rFonts w:ascii="Times New Roman;Times;serif" w:hAnsi="Times New Roman;Times;serif"/>
                <w:sz w:val="20"/>
              </w:rPr>
              <w:t>”) issued by Vistagen Therapeutics, Inc., a Nevada corporation (the “</w:t>
            </w:r>
            <w:r>
              <w:rPr>
                <w:rFonts w:ascii="Times New Roman;Times;serif" w:hAnsi="Times New Roman;Times;serif"/>
                <w:sz w:val="20"/>
                <w:u w:val="single"/>
              </w:rPr>
              <w:t>Company</w:t>
            </w:r>
            <w:r>
              <w:rPr>
                <w:rFonts w:ascii="Times New Roman;Times;serif" w:hAnsi="Times New Roman;Times;serif"/>
                <w:sz w:val="20"/>
              </w:rPr>
              <w:t>”). Capitalized terms used herein and not otherwise defined herein have the respective meanings set forth in the Warrant.</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245"/>
        <w:gridCol w:w="76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7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hereby exercises its right to purchase Warrant Shares pursuant to the Warrant.</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245"/>
        <w:gridCol w:w="68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Holder intends that payment of the Exercise Price shall be made as (check one):</w:t>
            </w:r>
          </w:p>
        </w:tc>
      </w:tr>
    </w:tbl>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60"/>
        <w:gridCol w:w="1430"/>
      </w:tblGrid>
      <w:tr>
        <w:trPr/>
        <w:tc>
          <w:tcPr>
            <w:tcW w:w="60"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Cash Exercise</w:t>
            </w:r>
          </w:p>
        </w:tc>
      </w:tr>
    </w:tbl>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60"/>
        <w:gridCol w:w="4550"/>
      </w:tblGrid>
      <w:tr>
        <w:trPr/>
        <w:tc>
          <w:tcPr>
            <w:tcW w:w="60" w:type="dxa"/>
            <w:tcBorders/>
            <w:vAlign w:val="center"/>
          </w:tcPr>
          <w:p>
            <w:pPr>
              <w:pStyle w:val="TableContents"/>
              <w:bidi w:val="0"/>
              <w:spacing w:before="0" w:after="0"/>
              <w:ind w:left="0" w:right="0" w:hanging="0"/>
              <w:jc w:val="left"/>
              <w:rPr/>
            </w:pPr>
            <w:r>
              <w:rPr/>
              <w:t> </w:t>
            </w:r>
          </w:p>
        </w:tc>
        <w:tc>
          <w:tcPr>
            <w:tcW w:w="455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Cashless Exercise” under Section 10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Holder has elected a Cash Exercise, the Holder shall pay the sum of $[ ● ] in immediately available funds to the Company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this Exercise Notice, the Company shall deliver to the Holder Warrant Shares determined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or Section 11(b), as applicable, of the Warrant to which this notice relates.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of Holder: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A-12</w:t>
      </w:r>
    </w:p>
    <w:p>
      <w:pPr>
        <w:pStyle w:val="TextBody"/>
        <w:bidi w:val="0"/>
        <w:jc w:val="left"/>
        <w:rPr/>
      </w:pPr>
      <w:bookmarkStart w:id="132" w:name="ex_576136.htm"/>
      <w:bookmarkStart w:id="133" w:name="ksex_576136"/>
      <w:bookmarkEnd w:id="132"/>
      <w:bookmarkEnd w:id="133"/>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4.3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WARRANT TO PURCHASE COMMON STOCK OR PREFUNDED WARRANTS</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370"/>
        <w:gridCol w:w="60"/>
        <w:gridCol w:w="29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No. [ ●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Number of Shares: [ ●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(subject to adjustment)</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Original Issue Date: October 4,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 a Nevada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hereby certifies that, for good and valuable consideration, the receipt and sufficiency of which are hereby acknowledged, [ ● ] or its permitted registered assigns (the “</w:t>
      </w:r>
      <w:r>
        <w:rPr>
          <w:rFonts w:ascii="Times New Roman" w:hAnsi="Times New Roman"/>
          <w:caps w:val="false"/>
          <w:smallCaps w:val="false"/>
          <w:sz w:val="20"/>
          <w:u w:val="single"/>
        </w:rPr>
        <w:t>Holder</w:t>
      </w:r>
      <w:r>
        <w:rPr>
          <w:rFonts w:ascii="Times New Roman" w:hAnsi="Times New Roman"/>
          <w:caps w:val="false"/>
          <w:smallCaps w:val="false"/>
          <w:sz w:val="20"/>
        </w:rPr>
        <w:t>”), is entitled, subject to the terms set forth below, to purchase from the Company at any time or times on or after the Original Issue Date, but not after 11:59 p.m., New York time, on the Expiration Date (as defined below), up to a total of [ ● ] shares of common stock, $0.001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of the Company (each such share, a “</w:t>
      </w:r>
      <w:r>
        <w:rPr>
          <w:rFonts w:ascii="Times New Roman" w:hAnsi="Times New Roman"/>
          <w:caps w:val="false"/>
          <w:smallCaps w:val="false"/>
          <w:sz w:val="20"/>
          <w:u w:val="single"/>
        </w:rPr>
        <w:t>Warrant Share</w:t>
      </w:r>
      <w:r>
        <w:rPr>
          <w:rFonts w:ascii="Times New Roman" w:hAnsi="Times New Roman"/>
          <w:caps w:val="false"/>
          <w:smallCaps w:val="false"/>
          <w:sz w:val="20"/>
        </w:rPr>
        <w:t>” and all such shares, the “</w:t>
      </w:r>
      <w:r>
        <w:rPr>
          <w:rFonts w:ascii="Times New Roman" w:hAnsi="Times New Roman"/>
          <w:caps w:val="false"/>
          <w:smallCaps w:val="false"/>
          <w:sz w:val="20"/>
          <w:u w:val="single"/>
        </w:rPr>
        <w:t>Warrant Shares</w:t>
      </w:r>
      <w:r>
        <w:rPr>
          <w:rFonts w:ascii="Times New Roman" w:hAnsi="Times New Roman"/>
          <w:caps w:val="false"/>
          <w:smallCaps w:val="false"/>
          <w:sz w:val="20"/>
        </w:rPr>
        <w:t>”) at an exercise price per share equal to $8.877 per share, which price is equal to the price per unit set forth on the cover of the Company’s prospectus supplement dated October 2, 2023, filed in connection with the offering of the Warrant (as defined below) (as adjusted from time to time as provided in Section 9 herein, the “</w:t>
      </w:r>
      <w:r>
        <w:rPr>
          <w:rFonts w:ascii="Times New Roman" w:hAnsi="Times New Roman"/>
          <w:caps w:val="false"/>
          <w:smallCaps w:val="false"/>
          <w:sz w:val="20"/>
          <w:u w:val="single"/>
        </w:rPr>
        <w:t>Exercise Price</w:t>
      </w:r>
      <w:r>
        <w:rPr>
          <w:rFonts w:ascii="Times New Roman" w:hAnsi="Times New Roman"/>
          <w:caps w:val="false"/>
          <w:smallCaps w:val="false"/>
          <w:sz w:val="20"/>
        </w:rPr>
        <w:t>”), or Prefunded Warrants (as defined below) to purchase the same number of Warrant Shares (as subject to adjustment hereunder), upon surrender of this Warrant to Purchase Common Stock or Prefunded Warrants (including any Warrants to Purchase Common Stock or Prefunded Warrants issued in exchange, transfer or replacement hereof, the “</w:t>
      </w:r>
      <w:r>
        <w:rPr>
          <w:rFonts w:ascii="Times New Roman" w:hAnsi="Times New Roman"/>
          <w:caps w:val="false"/>
          <w:smallCaps w:val="false"/>
          <w:sz w:val="20"/>
          <w:u w:val="single"/>
        </w:rPr>
        <w:t>Warrant</w:t>
      </w:r>
      <w:r>
        <w:rPr>
          <w:rFonts w:ascii="Times New Roman" w:hAnsi="Times New Roman"/>
          <w:caps w:val="false"/>
          <w:smallCaps w:val="false"/>
          <w:sz w:val="20"/>
        </w:rPr>
        <w:t>”), and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Definitions</w:t>
      </w:r>
      <w:r>
        <w:rPr>
          <w:rFonts w:ascii="Times New Roman" w:hAnsi="Times New Roman"/>
          <w:caps w:val="false"/>
          <w:smallCaps w:val="false"/>
          <w:sz w:val="20"/>
        </w:rPr>
        <w:t>. For purposes of this Warrant,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Attribution Parties</w:t>
      </w:r>
      <w:r>
        <w:rPr>
          <w:rFonts w:ascii="Times New Roman" w:hAnsi="Times New Roman"/>
          <w:caps w:val="false"/>
          <w:smallCaps w:val="false"/>
          <w:sz w:val="20"/>
        </w:rPr>
        <w:t>” means, collectively, the following Persons and entities: (i) any direct or indirect Affiliates of the Holder, (ii) any Person acting or who could be deemed to be acting as a group together with the Holder or any of the foregoing and (iii) any other Persons whose beneficial ownership of the Company’s Common Stock would or could be aggregated with the Holder’s and the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Closing Sale Price</w:t>
      </w:r>
      <w:r>
        <w:rPr>
          <w:rFonts w:ascii="Times New Roman" w:hAnsi="Times New Roman"/>
          <w:caps w:val="false"/>
          <w:smallCaps w:val="false"/>
          <w:sz w:val="20"/>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Expiration Date</w:t>
      </w:r>
      <w:r>
        <w:rPr>
          <w:rFonts w:ascii="Times New Roman" w:hAnsi="Times New Roman"/>
          <w:caps w:val="false"/>
          <w:smallCaps w:val="false"/>
          <w:sz w:val="20"/>
        </w:rPr>
        <w:t>” means the date five (5) years after the Original Issue Date, or, if such date falls on a day other than a business day or on which trading does not take place on the Principal Trading Market (a “</w:t>
      </w:r>
      <w:r>
        <w:rPr>
          <w:rFonts w:ascii="Times New Roman" w:hAnsi="Times New Roman"/>
          <w:caps w:val="false"/>
          <w:smallCaps w:val="false"/>
          <w:sz w:val="20"/>
          <w:u w:val="single"/>
        </w:rPr>
        <w:t>Holiday</w:t>
      </w:r>
      <w:r>
        <w:rPr>
          <w:rFonts w:ascii="Times New Roman" w:hAnsi="Times New Roman"/>
          <w:caps w:val="false"/>
          <w:smallCaps w:val="false"/>
          <w:sz w:val="20"/>
        </w:rPr>
        <w:t>”), the next day that is not a Holiday.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Prefunded Warrants</w:t>
      </w:r>
      <w:r>
        <w:rPr>
          <w:rFonts w:ascii="Times New Roman" w:hAnsi="Times New Roman"/>
          <w:caps w:val="false"/>
          <w:smallCaps w:val="false"/>
          <w:sz w:val="20"/>
        </w:rPr>
        <w:t>” means, the prefunded warrants to purchase a number of shares of Common Stock equal to the number of Warrant Shares as to which this Warrant is being exercised in the form of a Prefunded Warrant attached as Exhibit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Prefunded Warrant Exercise Price</w:t>
      </w:r>
      <w:r>
        <w:rPr>
          <w:rFonts w:ascii="Times New Roman" w:hAnsi="Times New Roman"/>
          <w:caps w:val="false"/>
          <w:smallCaps w:val="false"/>
          <w:sz w:val="20"/>
        </w:rPr>
        <w:t>” equals $0.001 per share of Common Stock, subject to adjustment for reverse and forward share splits, share dividends, share combinations, ratio changes and other similar transactions of the shares of Common Stock that occur after the Original Issue Date; provided, that in no event shall the Prefunded Warrant Exercise Price be adjusted to an amount below the par value of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Principal Trading Market</w:t>
      </w:r>
      <w:r>
        <w:rPr>
          <w:rFonts w:ascii="Times New Roman" w:hAnsi="Times New Roman"/>
          <w:caps w:val="false"/>
          <w:smallCaps w:val="false"/>
          <w:sz w:val="20"/>
        </w:rPr>
        <w:t>” means the trading market on which the Common Stock is primarily listed on and quoted for trading, which, as of the Original Issue Date shall be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means the Company’s Registration Statement on Form S-3 (File No. 333-254299), declared effective on March 26,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SEC</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Trading Day</w:t>
      </w:r>
      <w:r>
        <w:rPr>
          <w:rFonts w:ascii="Times New Roman" w:hAnsi="Times New Roman"/>
          <w:caps w:val="false"/>
          <w:smallCaps w:val="false"/>
          <w:sz w:val="20"/>
        </w:rPr>
        <w:t>” means any weekday on which the Principal Trading Market is normally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Transfer Agent</w:t>
      </w:r>
      <w:r>
        <w:rPr>
          <w:rFonts w:ascii="Times New Roman" w:hAnsi="Times New Roman"/>
          <w:caps w:val="false"/>
          <w:smallCaps w:val="false"/>
          <w:sz w:val="20"/>
        </w:rPr>
        <w:t>” means Computershare Trust Company, N.A., the Company’s transfer agent and registrar for the Common Stock, and any successor appointed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Registration of Warrants</w:t>
      </w:r>
      <w:r>
        <w:rPr>
          <w:rFonts w:ascii="Times New Roman" w:hAnsi="Times New Roman"/>
          <w:caps w:val="false"/>
          <w:smallCaps w:val="false"/>
          <w:sz w:val="20"/>
        </w:rPr>
        <w:t>. The Company shall register this Warrant, upon records to be maintained by the Company for that purpose (the “Warrant Register”),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Registration of Transfers</w:t>
      </w:r>
      <w:r>
        <w:rPr>
          <w:rFonts w:ascii="Times New Roman" w:hAnsi="Times New Roman"/>
          <w:caps w:val="false"/>
          <w:smallCaps w:val="false"/>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Upon any such registration or transfer, a new warrant to purchase Common Stock or Prefunded Warrants in substantially the form of this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Exercise of Warrants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All or any part of this Warrant shall be exercisable by the registered Holder in any manner permitted by Section 10 of this Warrant at any time and from time to time on or after the Original Issue Date and on or before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Holder may exercise this Warrant by delivering to the Company (i) an exercise notice, in the form attached as Schedule 1 hereto (the “</w:t>
      </w:r>
      <w:r>
        <w:rPr>
          <w:rFonts w:ascii="Times New Roman" w:hAnsi="Times New Roman"/>
          <w:caps w:val="false"/>
          <w:smallCaps w:val="false"/>
          <w:sz w:val="20"/>
          <w:u w:val="single"/>
        </w:rPr>
        <w:t>Exercise Notice</w:t>
      </w:r>
      <w:r>
        <w:rPr>
          <w:rFonts w:ascii="Times New Roman" w:hAnsi="Times New Roman"/>
          <w:caps w:val="false"/>
          <w:smallCaps w:val="false"/>
          <w:sz w:val="20"/>
        </w:rPr>
        <w:t>”), completed and duly signed, and (ii) payment of (x) the Exercise Price for the number of Warrant Shares as to which this Warrant is being exercised, or (y) the aggregate Exercise Price minus the aggregate Prefunded Warrant Exercise Price, if this Warrant is being exercised for Prefunded Warrants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hAnsi="Times New Roman"/>
          <w:caps w:val="false"/>
          <w:smallCaps w:val="false"/>
          <w:sz w:val="20"/>
          <w:u w:val="single"/>
        </w:rPr>
        <w:t>Exercise Date</w:t>
      </w:r>
      <w:r>
        <w:rPr>
          <w:rFonts w:ascii="Times New Roman" w:hAnsi="Times New Roman"/>
          <w:caps w:val="false"/>
          <w:smallCaps w:val="false"/>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or Prefunded Warrants,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Delivery of Warrant Shares or Prefunded Warrants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If this Warrant is being exercised for Warrant Shares, 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caps w:val="false"/>
          <w:smallCaps w:val="false"/>
          <w:sz w:val="20"/>
          <w:u w:val="single"/>
        </w:rPr>
        <w:t>DTC</w:t>
      </w:r>
      <w:r>
        <w:rPr>
          <w:rFonts w:ascii="Times New Roman" w:hAnsi="Times New Roman"/>
          <w:caps w:val="false"/>
          <w:smallCaps w:val="false"/>
          <w:sz w:val="20"/>
        </w:rPr>
        <w:t>”) through its Deposit Withdrawal Agent Commission system, or if the Transfer Agent is not participating in the Fast Automated Securities Transfer Program (FAST)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delivery of the certificates evidencing such Warrant Shares,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If this Warrant is being exercised for Prefunded Warrants, the Company shall issue and dispatch by overnight courier to the address as specified in the Exercise Notice, Prefunded Warrants to purchase a number of shares of Common Stock with respect to which this Warrant is being exercised by the date that is the latest of (i) five (5) Trading Days after the delivery to the Company of the Exercise Notice, (ii) five (5) Trading Days after delivery of the aggregate Exercise Price less the aggregate Prefunded Warrant Exercise Price to the Company and (iii) the number of Trading Days comprising the Standard Settlement Period after the delivery to the Company of the Exercise Notice (the “</w:t>
      </w:r>
      <w:r>
        <w:rPr>
          <w:rFonts w:ascii="Times New Roman" w:hAnsi="Times New Roman"/>
          <w:caps w:val="false"/>
          <w:smallCaps w:val="false"/>
          <w:sz w:val="20"/>
          <w:u w:val="single"/>
        </w:rPr>
        <w:t>Delivery Date</w:t>
      </w:r>
      <w:r>
        <w:rPr>
          <w:rFonts w:ascii="Times New Roman" w:hAnsi="Times New Roman"/>
          <w:caps w:val="false"/>
          <w:smallCaps w:val="false"/>
          <w:sz w:val="20"/>
        </w:rPr>
        <w:t>”). As used herein, “Standard Settlement Period” means the standard settlement period, expressed in a number of Trading Days, on the Company’s Principal Trading Market with respect to the shares of Common Stock as in effect on the date of delivery of the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caps w:val="false"/>
          <w:smallCaps w:val="false"/>
          <w:sz w:val="20"/>
          <w:u w:val="single"/>
        </w:rPr>
        <w:t>Section 5(a)</w:t>
      </w:r>
      <w:r>
        <w:rPr>
          <w:rFonts w:ascii="Times New Roman" w:hAnsi="Times New Roman"/>
          <w:caps w:val="false"/>
          <w:smallCaps w:val="false"/>
          <w:sz w:val="20"/>
        </w:rPr>
        <w:t xml:space="preserve"> or fails to credit the Holder’s or its designee’s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over the product of (A) the number of shares of Common Stock purchased in the Buy-In, times (B) the Closing Sale Price of a share of Common Stock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To the extent permitted by law and subject to Section 5(c), the Company’s obligations to issue and deliver Warrant Shares or Prefunded Warrants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or Prefunded Warrants. Subject to Section 5(c),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Charges, Taxes and Expenses</w:t>
      </w:r>
      <w:r>
        <w:rPr>
          <w:rFonts w:ascii="Times New Roman" w:hAnsi="Times New Roman"/>
          <w:caps w:val="false"/>
          <w:smallCaps w:val="false"/>
          <w:sz w:val="20"/>
        </w:rPr>
        <w:t>. Issuance and delivery of certificates for shares of Common Stock or Prefunded Warrants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provided, however, that the Company shall not be required to pay any tax that may be payable in respect of any transfer involved in the registration of any certificates for Warrant Shares, Prefunded Warrants or the Warrants in a name other than that of the Holder or an Affiliate thereof. The Holder shall be responsible for all other tax liability that may arise as a result of holding or transferring this Warrant or receiving Warrant Shares or Prefunded Warrants upon exercise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Replacement of Warrant</w:t>
      </w:r>
      <w:r>
        <w:rPr>
          <w:rFonts w:ascii="Times New Roman" w:hAnsi="Times New Roman"/>
          <w:caps w:val="false"/>
          <w:smallCaps w:val="false"/>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Reservation of Warrant Shares and Prefunded Warrants</w:t>
      </w:r>
      <w:r>
        <w:rPr>
          <w:rFonts w:ascii="Times New Roman" w:hAnsi="Times New Roman"/>
          <w:caps w:val="false"/>
          <w:smallCaps w:val="false"/>
          <w:sz w:val="20"/>
        </w:rPr>
        <w:t>. The Company covenants that it will, at all times while this Warrant is outstanding, reserve and keep available out of the aggregate of its authorized but unissued and otherwise unreserved Common Stock, solely for the purpose of enabling it to issue Warrant Shares or Prefunded Warrants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“Authorized Share Failure.” The Company covenants that all Warrant Shares so issuable and deliverable shall, upon issuance and the payment of the applicable Exercise Price in accordance with the terms hereof, be duly and validly authorized, issued and fully paid and non-assessable. The Company will take all commercially reasonable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one hundred twenty (120)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Certain Adjustments</w:t>
      </w:r>
      <w:r>
        <w:rPr>
          <w:rFonts w:ascii="Times New Roman" w:hAnsi="Times New Roman"/>
          <w:caps w:val="false"/>
          <w:smallCaps w:val="false"/>
          <w:sz w:val="20"/>
        </w:rPr>
        <w:t>. The Exercise Price and number of Warrant Shares or Prefunded Warrants issuable upon exercise of this Warrant are subject to adjustment from time to time as set forth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Stock Dividends and Splits</w:t>
      </w:r>
      <w:r>
        <w:rPr>
          <w:rFonts w:ascii="Times New Roman" w:hAnsi="Times New Roman"/>
          <w:caps w:val="false"/>
          <w:smallCaps w:val="false"/>
          <w:sz w:val="20"/>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Pro Rata Distributions</w:t>
      </w:r>
      <w:r>
        <w:rPr>
          <w:rFonts w:ascii="Times New Roman" w:hAnsi="Times New Roman"/>
          <w:caps w:val="false"/>
          <w:smallCaps w:val="false"/>
          <w:sz w:val="20"/>
        </w:rPr>
        <w:t>. In addition to any adjustments pursuant to the other subsections of this Section 9,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Original Issue Date,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Purchase Rights</w:t>
      </w:r>
      <w:r>
        <w:rPr>
          <w:rFonts w:ascii="Times New Roman" w:hAnsi="Times New Roman"/>
          <w:caps w:val="false"/>
          <w:smallCaps w:val="false"/>
          <w:sz w:val="20"/>
        </w:rPr>
        <w:t>. In addition to any adjustments pursuant to the other subsections of this Section 9, if at any time on or after the Original Issue Date, the Company grants, issues or sells any Options, Convertible Securities or rights to purchase stock, warrants, securities or other property, in each case pro rata to the record holders of any class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hAnsi="Times New Roman"/>
          <w:caps w:val="false"/>
          <w:smallCaps w:val="false"/>
          <w:sz w:val="20"/>
          <w:u w:val="single"/>
        </w:rPr>
        <w:t>Options</w:t>
      </w:r>
      <w:r>
        <w:rPr>
          <w:rFonts w:ascii="Times New Roman" w:hAnsi="Times New Roman"/>
          <w:caps w:val="false"/>
          <w:smallCaps w:val="false"/>
          <w:sz w:val="20"/>
        </w:rPr>
        <w:t>” means any rights, warrants or options to subscribe for or purchase shares of Common Stock or Convertible Securities and (ii) “</w:t>
      </w:r>
      <w:r>
        <w:rPr>
          <w:rFonts w:ascii="Times New Roman" w:hAnsi="Times New Roman"/>
          <w:caps w:val="false"/>
          <w:smallCaps w:val="false"/>
          <w:sz w:val="20"/>
          <w:u w:val="single"/>
        </w:rPr>
        <w:t>Convertible Securities</w:t>
      </w:r>
      <w:r>
        <w:rPr>
          <w:rFonts w:ascii="Times New Roman" w:hAnsi="Times New Roman"/>
          <w:caps w:val="false"/>
          <w:smallCaps w:val="false"/>
          <w:sz w:val="20"/>
        </w:rPr>
        <w:t>” mean any stock or securities (other than Options) directly or indirectly convertible into or exercisable or exchangeable for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Fundamental Transactions</w:t>
      </w:r>
      <w:r>
        <w:rPr>
          <w:rFonts w:ascii="Times New Roman" w:hAnsi="Times New Roman"/>
          <w:caps w:val="false"/>
          <w:smallCaps w:val="false"/>
          <w:sz w:val="20"/>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or Prefunded Warrants then issuable upon exercise in full of this Warrant without regard to any limitations on exercise contained herein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Number of Warrant Shares or Prefunded Warrants</w:t>
      </w:r>
      <w:r>
        <w:rPr>
          <w:rFonts w:ascii="Times New Roman" w:hAnsi="Times New Roman"/>
          <w:caps w:val="false"/>
          <w:smallCaps w:val="false"/>
          <w:sz w:val="20"/>
        </w:rPr>
        <w:t>. Simultaneously with any adjustment to the Exercise Price pursuant to paragraph (a) of this Section 9, the number of Warrant Shares or Prefunded Warrants that may be purchased upon exercise of this Warrant shall be increased or decreased proportionately, so that after such adjustment the aggregate Exercise Price payable hereunder for the increased or decreased number of Warrant Shares or Prefunded Warrants shall be the same as the aggregate Exercise Price in effect immediately prior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under this Section 9 shall be made to the nearest one tenth of one cent or the nearest share,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Notice of Adjustments</w:t>
      </w:r>
      <w:r>
        <w:rPr>
          <w:rFonts w:ascii="Times New Roman" w:hAnsi="Times New Roman"/>
          <w:caps w:val="false"/>
          <w:smallCaps w:val="false"/>
          <w:sz w:val="20"/>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Notice of Corporate Events</w:t>
      </w:r>
      <w:r>
        <w:rPr>
          <w:rFonts w:ascii="Times New Roman" w:hAnsi="Times New Roman"/>
          <w:caps w:val="false"/>
          <w:smallCaps w:val="false"/>
          <w:sz w:val="20"/>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Payment of Exercise Price</w:t>
      </w:r>
      <w:r>
        <w:rPr>
          <w:rFonts w:ascii="Times New Roman" w:hAnsi="Times New Roman"/>
          <w:caps w:val="false"/>
          <w:smallCaps w:val="false"/>
          <w:sz w:val="20"/>
        </w:rPr>
        <w:t>. Notwithstanding anything contained herein to the contrary, the Holder may, in its sole discretion, satisfy its obligation to pay the Exercise Price through a “cashless exercise,” in which event the Company shall issue to the Holder the number of Warrant Shares or Prefunded Warrants in an exchange of securities effected pursuant to Section 3(a)(9) of the Securities Act,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 = Y [(A-B)/A]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 equals the number of Warrant Shares or Prefunded Warrants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Y” equals the total number of Warrant Shares or Prefunded Warrants with respect to which this Warrant is then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A” equals the Closing Sale Price of the shares of Common Stock (as reported by Bloomberg Financial Markets) as of the Trading Day on the date immediately preceding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B” equals the Exercise Price then in effect for the applicable Warrant Shares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Rule 144 promulgated under the Securities Act, it is intended, understood and acknowledged that the Warrant Shares or Prefunded Warrants issued in a “cashless exercise” transaction shall be deemed to have been acquired by the Holder, and the holding period for the Warrant Shares or Prefunded Warrants shall be deemed to have commenced, on the date this Warrant was originally issued (provided that the SEC continues to take the position that such treatment is proper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the Registration Statement, or another registration statement registering the issuance of the Warrant Shares or Prefunded Warrants is, for any reason, not effective at the time of exercise of this Warrant, then the Warrant may only be exercised through a cashless exercise, as set forth in this Section 10. If Warrant Shares or Prefunded Warrants are issued in such a cashless exercise, the Company acknowledges and agrees that in accordance with Section 3(a)(9) of the Securities Act of 1933, as amended, the Warrant Shares or Prefunded Warrants shall take on the registered characteristics of the Warrants being exercised, and the holding period of the Warrants being exercised may be tacked on to the holding period of the Warrant Shares 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Limitations on 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Notwithstanding anything to the contrary contained herein, the Company shall not effect the exercise of any portion of this Warrant (other than for Prefunded Warrants), and the Holder shall not have the right to exercise any portion of this Warrant (other than for Prefunded Warrants),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(the “</w:t>
      </w:r>
      <w:r>
        <w:rPr>
          <w:rFonts w:ascii="Times New Roman" w:hAnsi="Times New Roman"/>
          <w:caps w:val="false"/>
          <w:smallCaps w:val="false"/>
          <w:sz w:val="20"/>
          <w:u w:val="single"/>
        </w:rPr>
        <w:t>Maximum Percentage</w:t>
      </w:r>
      <w:r>
        <w:rPr>
          <w:rFonts w:ascii="Times New Roman" w:hAnsi="Times New Roman"/>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11(a). For purposes of this Section 11(a),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11(a)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Times New Roman" w:hAnsi="Times New Roman"/>
          <w:caps w:val="false"/>
          <w:smallCaps w:val="false"/>
          <w:sz w:val="20"/>
          <w:u w:val="single"/>
        </w:rPr>
        <w:t>Reported Outstanding Share Number</w:t>
      </w:r>
      <w:r>
        <w:rPr>
          <w:rFonts w:ascii="Times New Roman" w:hAnsi="Times New Roman"/>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or Prefunded Warrants to be purchased pursuant to such Exercise Notice (the number of shares by which such purchase is reduced, the “</w:t>
      </w:r>
      <w:r>
        <w:rPr>
          <w:rFonts w:ascii="Times New Roman" w:hAnsi="Times New Roman"/>
          <w:caps w:val="false"/>
          <w:smallCaps w:val="false"/>
          <w:sz w:val="20"/>
          <w:u w:val="single"/>
        </w:rPr>
        <w:t>Reduction Shares</w:t>
      </w:r>
      <w:r>
        <w:rPr>
          <w:rFonts w:ascii="Times New Roman" w:hAnsi="Times New Roman"/>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hAnsi="Times New Roman"/>
          <w:caps w:val="false"/>
          <w:smallCaps w:val="false"/>
          <w:sz w:val="20"/>
          <w:u w:val="single"/>
        </w:rPr>
        <w:t>Excess Shares</w:t>
      </w:r>
      <w:r>
        <w:rPr>
          <w:rFonts w:ascii="Times New Roman" w:hAnsi="Times New Roman"/>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5636(b)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 (iii) 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No Fractional Shares</w:t>
      </w:r>
      <w:r>
        <w:rPr>
          <w:rFonts w:ascii="Times New Roman" w:hAnsi="Times New Roman"/>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caps w:val="false"/>
          <w:smallCaps w:val="false"/>
          <w:sz w:val="20"/>
          <w:u w:val="single"/>
        </w:rPr>
        <w:t>Notices</w:t>
      </w:r>
      <w:r>
        <w:rPr>
          <w:rFonts w:ascii="Times New Roman" w:hAnsi="Times New Roman"/>
          <w:caps w:val="false"/>
          <w:smallCaps w:val="false"/>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in the books and records of the Transfer Agent prior to 5:30 P.M., New York City time, on a Trading Day, (ii) the next Trading Day after the date of transmission, if such notice or communication is delivered via facsimile or confirmed e-mail at the facsimile number or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Warrant Agent</w:t>
      </w:r>
      <w:r>
        <w:rPr>
          <w:rFonts w:ascii="Times New Roman" w:hAnsi="Times New Roman"/>
          <w:caps w:val="false"/>
          <w:smallCaps w:val="false"/>
          <w:sz w:val="20"/>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 Rights as a Stockholder</w:t>
      </w:r>
      <w:r>
        <w:rPr>
          <w:rFonts w:ascii="Times New Roman" w:hAnsi="Times New Roman"/>
          <w:caps w:val="false"/>
          <w:smallCaps w:val="false"/>
          <w:sz w:val="20"/>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Authorized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Amendment and Waiver</w:t>
      </w:r>
      <w:r>
        <w:rPr>
          <w:rFonts w:ascii="Times New Roman" w:hAnsi="Times New Roman"/>
          <w:caps w:val="false"/>
          <w:smallCaps w:val="false"/>
          <w:sz w:val="20"/>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Acceptance</w:t>
      </w:r>
      <w:r>
        <w:rPr>
          <w:rFonts w:ascii="Times New Roman" w:hAnsi="Times New Roman"/>
          <w:caps w:val="false"/>
          <w:smallCaps w:val="false"/>
          <w:sz w:val="20"/>
        </w:rPr>
        <w:t>. Receipt of this Warrant by the Holder shall constitute acceptance of and agreement to all of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Governing Law; Jurisdiction</w:t>
      </w:r>
      <w:r>
        <w:rPr>
          <w:rFonts w:ascii="Times New Roman" w:hAnsi="Times New Roman"/>
          <w:caps w:val="false"/>
          <w:smallCaps w:val="false"/>
          <w:sz w:val="20"/>
        </w:rPr>
        <w:t>. ALL QUESTIONS CONCERNING THE CONSTRUCTION, VALIDITY, ENFORCEMENT AND INTERPRETATION OF THIS WARRANT SHALL BE GOVERNED BY AND CONSTRUED AND ENFORCED IN ACCORDANCE WITH THE LAWS OF THE STATE OF NEVADA WITHOUT REGARD TO THE PRINCIPLES OF CONFLICTS OF LAW THEREOF. EACH OF THE COMPANY AND THE HOLDER HEREBY IRREVOCABLY SUBMITS TO THE EXCLUSIVE JURISDICTION OF THE STATE AND FEDERAL COURTS SITTING IN THE STATE OF NEVADA,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Headings</w:t>
      </w:r>
      <w:r>
        <w:rPr>
          <w:rFonts w:ascii="Times New Roman" w:hAnsi="Times New Roman"/>
          <w:caps w:val="false"/>
          <w:smallCaps w:val="false"/>
          <w:sz w:val="20"/>
        </w:rPr>
        <w:t>. The headings herein are for convenience only, do not constitute a part of this Warrant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Severability</w:t>
      </w:r>
      <w:r>
        <w:rPr>
          <w:rFonts w:ascii="Times New Roman" w:hAnsi="Times New Roman"/>
          <w:caps w:val="false"/>
          <w:smallCaps w:val="false"/>
          <w:sz w:val="20"/>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Prefunded Warrants in lieu of Common Stock</w:t>
      </w:r>
      <w:r>
        <w:rPr>
          <w:rFonts w:ascii="Times New Roman" w:hAnsi="Times New Roman"/>
          <w:caps w:val="false"/>
          <w:smallCaps w:val="false"/>
          <w:sz w:val="20"/>
        </w:rPr>
        <w:t>. Notwithstanding anything to the contrary in this Warrant, to the extent the limitations set forth in Section 11 restrict the exercise of this Warrant into Warrant Shares, the Holder may choose, in lieu of receiving Warrant Shares upon exercise of this Warrant, to receive a Prefunded Warrant in the form attached as Exhibit A hereto to purchase an identical number of shares of Common Stock it would have received upon the exercise of this Warrant for shares of Common Stock, provided, however that the Exercise Price shall instead be the Exercise Price less $0.001 per share, and the resulting issued Prefunded Warrant shall have an exercise price of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Company has caused this Warrant to be duly executed as of the Original Issue Date set out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10"/>
        <w:gridCol w:w="306"/>
        <w:gridCol w:w="3680"/>
        <w:gridCol w:w="1209"/>
      </w:tblGrid>
      <w:tr>
        <w:trPr/>
        <w:tc>
          <w:tcPr>
            <w:tcW w:w="5010" w:type="dxa"/>
            <w:tcBorders/>
          </w:tcPr>
          <w:p>
            <w:pPr>
              <w:pStyle w:val="TableContents"/>
              <w:bidi w:val="0"/>
              <w:spacing w:before="0" w:after="0"/>
              <w:ind w:left="0" w:right="0" w:hanging="0"/>
              <w:jc w:val="left"/>
              <w:rPr/>
            </w:pPr>
            <w:r>
              <w:rPr/>
              <w:t> </w:t>
            </w:r>
          </w:p>
        </w:tc>
        <w:tc>
          <w:tcPr>
            <w:tcW w:w="3986" w:type="dxa"/>
            <w:gridSpan w:val="2"/>
            <w:tcBorders/>
          </w:tcPr>
          <w:p>
            <w:pPr>
              <w:pStyle w:val="TableContents"/>
              <w:bidi w:val="0"/>
              <w:spacing w:before="0" w:after="0"/>
              <w:ind w:left="0" w:right="0" w:hanging="0"/>
              <w:jc w:val="left"/>
              <w:rPr/>
            </w:pPr>
            <w:r>
              <w:rPr/>
              <w:t> </w:t>
            </w:r>
          </w:p>
        </w:tc>
        <w:tc>
          <w:tcPr>
            <w:tcW w:w="1209" w:type="dxa"/>
            <w:tcBorders/>
          </w:tcPr>
          <w:p>
            <w:pPr>
              <w:pStyle w:val="TableContents"/>
              <w:bidi w:val="0"/>
              <w:spacing w:before="0" w:after="0"/>
              <w:ind w:left="0" w:right="0" w:hanging="0"/>
              <w:jc w:val="left"/>
              <w:rPr/>
            </w:pPr>
            <w:r>
              <w:rPr/>
              <w:t> </w:t>
            </w:r>
          </w:p>
        </w:tc>
      </w:tr>
      <w:tr>
        <w:trPr/>
        <w:tc>
          <w:tcPr>
            <w:tcW w:w="5010" w:type="dxa"/>
            <w:tcBorders/>
          </w:tcPr>
          <w:p>
            <w:pPr>
              <w:pStyle w:val="TableContents"/>
              <w:bidi w:val="0"/>
              <w:spacing w:before="0" w:after="0"/>
              <w:ind w:left="0" w:right="0" w:hanging="0"/>
              <w:jc w:val="left"/>
              <w:rPr/>
            </w:pPr>
            <w:r>
              <w:rPr/>
              <w:t> </w:t>
            </w:r>
          </w:p>
        </w:tc>
        <w:tc>
          <w:tcPr>
            <w:tcW w:w="306" w:type="dxa"/>
            <w:tcBorders/>
          </w:tcPr>
          <w:p>
            <w:pPr>
              <w:pStyle w:val="TableContents"/>
              <w:bidi w:val="0"/>
              <w:spacing w:before="0" w:after="0"/>
              <w:ind w:left="0" w:right="0" w:hanging="0"/>
              <w:jc w:val="left"/>
              <w:rPr/>
            </w:pPr>
            <w:r>
              <w:rPr/>
              <w:t> </w:t>
            </w:r>
          </w:p>
        </w:tc>
        <w:tc>
          <w:tcPr>
            <w:tcW w:w="3680"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VISTAGEN THERAPEUTICS,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1209" w:type="dxa"/>
            <w:tcBorders/>
          </w:tcPr>
          <w:p>
            <w:pPr>
              <w:pStyle w:val="TableContents"/>
              <w:bidi w:val="0"/>
              <w:spacing w:before="0" w:after="0"/>
              <w:ind w:left="0" w:right="0" w:hanging="0"/>
              <w:jc w:val="left"/>
              <w:rPr/>
            </w:pPr>
            <w:r>
              <w:rPr/>
              <w:t> </w:t>
            </w:r>
          </w:p>
        </w:tc>
      </w:tr>
      <w:tr>
        <w:trPr/>
        <w:tc>
          <w:tcPr>
            <w:tcW w:w="5010" w:type="dxa"/>
            <w:tcBorders/>
          </w:tcPr>
          <w:p>
            <w:pPr>
              <w:pStyle w:val="TableContents"/>
              <w:bidi w:val="0"/>
              <w:spacing w:before="0" w:after="0"/>
              <w:ind w:left="0" w:right="0" w:hanging="0"/>
              <w:jc w:val="left"/>
              <w:rPr/>
            </w:pPr>
            <w:r>
              <w:rPr/>
              <w:t> </w:t>
            </w:r>
          </w:p>
        </w:tc>
        <w:tc>
          <w:tcPr>
            <w:tcW w:w="306" w:type="dxa"/>
            <w:tcBorders/>
          </w:tcPr>
          <w:p>
            <w:pPr>
              <w:pStyle w:val="TableContents"/>
              <w:bidi w:val="0"/>
              <w:spacing w:before="0" w:after="0"/>
              <w:ind w:left="0" w:right="0" w:hanging="0"/>
              <w:jc w:val="left"/>
              <w:rPr/>
            </w:pPr>
            <w:r>
              <w:rPr/>
              <w:t> </w:t>
            </w:r>
          </w:p>
        </w:tc>
        <w:tc>
          <w:tcPr>
            <w:tcW w:w="3680" w:type="dxa"/>
            <w:tcBorders/>
            <w:vAlign w:val="bottom"/>
          </w:tcPr>
          <w:p>
            <w:pPr>
              <w:pStyle w:val="TableContents"/>
              <w:bidi w:val="0"/>
              <w:spacing w:before="0" w:after="0"/>
              <w:ind w:left="0" w:right="0" w:hanging="0"/>
              <w:jc w:val="left"/>
              <w:rPr/>
            </w:pPr>
            <w:r>
              <w:rPr/>
              <w:t> </w:t>
            </w:r>
          </w:p>
        </w:tc>
        <w:tc>
          <w:tcPr>
            <w:tcW w:w="1209" w:type="dxa"/>
            <w:tcBorders/>
          </w:tcPr>
          <w:p>
            <w:pPr>
              <w:pStyle w:val="TableContents"/>
              <w:bidi w:val="0"/>
              <w:spacing w:before="0" w:after="0"/>
              <w:ind w:left="0" w:right="0" w:hanging="0"/>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Tranche 2 Warrant]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executed by the Holder to purchase shares of Common Stock or Prefunded Warrants under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is the Holder of Warrant No. [ ● ] (the “</w:t>
            </w:r>
            <w:r>
              <w:rPr>
                <w:rFonts w:ascii="Times New Roman;Times;serif" w:hAnsi="Times New Roman;Times;serif"/>
                <w:sz w:val="20"/>
                <w:u w:val="single"/>
              </w:rPr>
              <w:t>Warrant</w:t>
            </w:r>
            <w:r>
              <w:rPr>
                <w:rFonts w:ascii="Times New Roman;Times;serif" w:hAnsi="Times New Roman;Times;serif"/>
                <w:sz w:val="20"/>
              </w:rPr>
              <w:t>”) issued by Vistagen Therapeutics, Inc., a Nevada corporation (the “</w:t>
            </w:r>
            <w:r>
              <w:rPr>
                <w:rFonts w:ascii="Times New Roman;Times;serif" w:hAnsi="Times New Roman;Times;serif"/>
                <w:sz w:val="20"/>
                <w:u w:val="single"/>
              </w:rPr>
              <w:t>Company</w:t>
            </w:r>
            <w:r>
              <w:rPr>
                <w:rFonts w:ascii="Times New Roman;Times;serif" w:hAnsi="Times New Roman;Times;serif"/>
                <w:sz w:val="20"/>
              </w:rPr>
              <w:t>”). Capitalized terms used herein and not otherwise defined herein have the respective meanings set forth in the Warrant.</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hereby exercises its right to purchase Warrant Shares or Prefunded Warrants pursuant to the Warrant.</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245"/>
        <w:gridCol w:w="68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Holder intends that payment of the Exercise Price shall be made as (check one):</w:t>
            </w:r>
          </w:p>
        </w:tc>
      </w:tr>
    </w:tbl>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60"/>
        <w:gridCol w:w="1430"/>
      </w:tblGrid>
      <w:tr>
        <w:trPr/>
        <w:tc>
          <w:tcPr>
            <w:tcW w:w="60"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Cash Exercise</w:t>
            </w:r>
          </w:p>
        </w:tc>
      </w:tr>
    </w:tbl>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60"/>
        <w:gridCol w:w="4550"/>
      </w:tblGrid>
      <w:tr>
        <w:trPr/>
        <w:tc>
          <w:tcPr>
            <w:tcW w:w="60" w:type="dxa"/>
            <w:tcBorders/>
            <w:vAlign w:val="center"/>
          </w:tcPr>
          <w:p>
            <w:pPr>
              <w:pStyle w:val="TableContents"/>
              <w:bidi w:val="0"/>
              <w:spacing w:before="0" w:after="0"/>
              <w:ind w:left="0" w:right="0" w:hanging="0"/>
              <w:jc w:val="left"/>
              <w:rPr/>
            </w:pPr>
            <w:r>
              <w:rPr/>
              <w:t> </w:t>
            </w:r>
          </w:p>
        </w:tc>
        <w:tc>
          <w:tcPr>
            <w:tcW w:w="455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Cashless Exercise” under Section 10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Holder has elected a Cash Exercise, the Holder shall pay the sum of $[ ● ] in immediately available funds to the Company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set forth in paragraph (6), pursuant to this Exercise Notice, the Company shall deliver to the Holder Warrant Shares or Prefunded Warrants determined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9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Holder hereby elects to receive a Prefunded Warrant to purchase an identical number of shares of Common Stock that it would receive if it had exercised this Warrant for shares of Common Stock in lieu of receiving the Warrant Shares in accordance with this Warrant.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or Section 11(b), as applicable, of the Warrant to which this notice relates.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of Holder: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must conform in all respects to name of Holder as specified on the face of the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Schedule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EXHIBIT A</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PRE-FUNDED WARRANT TO PURCHASE COMMON STOCK</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370"/>
        <w:gridCol w:w="60"/>
        <w:gridCol w:w="29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No. [ ●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Number of Shares: [ ●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(subject to adjustment)</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Original Issue Date: October 4,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 a Nevada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hereby certifies that, for good and valuable consideration, the receipt and sufficiency of which are hereby acknowledged, [ ● ] or its permitted registered assigns (the “Holder”), is entitled, subject to the terms set forth below, to purchase from the Company up to a total of [ ● ] shares of common stock, $0.001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of the Company (each such share, a “</w:t>
      </w:r>
      <w:r>
        <w:rPr>
          <w:rFonts w:ascii="Times New Roman" w:hAnsi="Times New Roman"/>
          <w:caps w:val="false"/>
          <w:smallCaps w:val="false"/>
          <w:sz w:val="20"/>
          <w:u w:val="single"/>
        </w:rPr>
        <w:t>Warrant Share</w:t>
      </w:r>
      <w:r>
        <w:rPr>
          <w:rFonts w:ascii="Times New Roman" w:hAnsi="Times New Roman"/>
          <w:caps w:val="false"/>
          <w:smallCaps w:val="false"/>
          <w:sz w:val="20"/>
        </w:rPr>
        <w:t>” and all such shares, the “</w:t>
      </w:r>
      <w:r>
        <w:rPr>
          <w:rFonts w:ascii="Times New Roman" w:hAnsi="Times New Roman"/>
          <w:caps w:val="false"/>
          <w:smallCaps w:val="false"/>
          <w:sz w:val="20"/>
          <w:u w:val="single"/>
        </w:rPr>
        <w:t>Warrant Shares</w:t>
      </w:r>
      <w:r>
        <w:rPr>
          <w:rFonts w:ascii="Times New Roman" w:hAnsi="Times New Roman"/>
          <w:caps w:val="false"/>
          <w:smallCaps w:val="false"/>
          <w:sz w:val="20"/>
        </w:rPr>
        <w:t>”) at an exercise price per share equal to $0.001 per share (as adjusted from time to time as provided in Section 9 herein, the “</w:t>
      </w:r>
      <w:r>
        <w:rPr>
          <w:rFonts w:ascii="Times New Roman" w:hAnsi="Times New Roman"/>
          <w:caps w:val="false"/>
          <w:smallCaps w:val="false"/>
          <w:sz w:val="20"/>
          <w:u w:val="single"/>
        </w:rPr>
        <w:t>Exercise Price</w:t>
      </w:r>
      <w:r>
        <w:rPr>
          <w:rFonts w:ascii="Times New Roman" w:hAnsi="Times New Roman"/>
          <w:caps w:val="false"/>
          <w:smallCaps w:val="false"/>
          <w:sz w:val="20"/>
        </w:rPr>
        <w:t>”), upon surrender of this Warrant to Purchase Common Stock (including any Warrants to Purchase Common Stock issued in exchange, transfer or replacement hereof, the “</w:t>
      </w:r>
      <w:r>
        <w:rPr>
          <w:rFonts w:ascii="Times New Roman" w:hAnsi="Times New Roman"/>
          <w:caps w:val="false"/>
          <w:smallCaps w:val="false"/>
          <w:sz w:val="20"/>
          <w:u w:val="single"/>
        </w:rPr>
        <w:t>Warrant</w:t>
      </w:r>
      <w:r>
        <w:rPr>
          <w:rFonts w:ascii="Times New Roman" w:hAnsi="Times New Roman"/>
          <w:caps w:val="false"/>
          <w:smallCaps w:val="false"/>
          <w:sz w:val="20"/>
        </w:rPr>
        <w:t>”), and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Definitions</w:t>
      </w:r>
      <w:r>
        <w:rPr>
          <w:rFonts w:ascii="Times New Roman" w:hAnsi="Times New Roman"/>
          <w:caps w:val="false"/>
          <w:smallCaps w:val="false"/>
          <w:sz w:val="20"/>
        </w:rPr>
        <w:t>. For purposes of this Warrant,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Attribution Parties</w:t>
      </w:r>
      <w:r>
        <w:rPr>
          <w:rFonts w:ascii="Times New Roman" w:hAnsi="Times New Roman"/>
          <w:caps w:val="false"/>
          <w:smallCaps w:val="false"/>
          <w:sz w:val="20"/>
        </w:rPr>
        <w:t>” means, collectively, the following Persons and entities: (i) any direct or indirect Affiliates of the Holder, (ii) any Person acting or who could be deemed to be acting as a group together with the Holder or any of the foregoing and (iii) any other Persons whose beneficial ownership of the Company’s Common Stock would or could be aggregated with the Holder’s and the other Attribution Parties for purposes of Section 13(d) or Section 16 of the 1934 Act. For clarity, the purpose of the foregoing is to subject collectively the Holder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Closing Sale Price</w:t>
      </w:r>
      <w:r>
        <w:rPr>
          <w:rFonts w:ascii="Times New Roman" w:hAnsi="Times New Roman"/>
          <w:caps w:val="false"/>
          <w:smallCaps w:val="false"/>
          <w:sz w:val="20"/>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a limited liability company, a partnership, a joint venture, a corporation, a trust, an unincorporated organization, any other entity and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Principal Trading Market</w:t>
      </w:r>
      <w:r>
        <w:rPr>
          <w:rFonts w:ascii="Times New Roman" w:hAnsi="Times New Roman"/>
          <w:caps w:val="false"/>
          <w:smallCaps w:val="false"/>
          <w:sz w:val="20"/>
        </w:rPr>
        <w:t>” means the trading market on which the Common Stock is primarily listed on and quoted for trading, which, as of the Original Issue Date shall be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means the Company’s Registration Statement on Form S-3 (File No. 333-254299), declared effective on March 26,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SEC</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Trading Day</w:t>
      </w:r>
      <w:r>
        <w:rPr>
          <w:rFonts w:ascii="Times New Roman" w:hAnsi="Times New Roman"/>
          <w:caps w:val="false"/>
          <w:smallCaps w:val="false"/>
          <w:sz w:val="20"/>
        </w:rPr>
        <w:t>” means any weekday on which the Principal Trading Market is normally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Transfer Agent</w:t>
      </w:r>
      <w:r>
        <w:rPr>
          <w:rFonts w:ascii="Times New Roman" w:hAnsi="Times New Roman"/>
          <w:caps w:val="false"/>
          <w:smallCaps w:val="false"/>
          <w:sz w:val="20"/>
        </w:rPr>
        <w:t>” means Computershare Trust Company, N.A., the Company’s transfer agent and registrar for the Common Stock, and any successor appointed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Registration of Warrants</w:t>
      </w:r>
      <w:r>
        <w:rPr>
          <w:rFonts w:ascii="Times New Roman" w:hAnsi="Times New Roman"/>
          <w:caps w:val="false"/>
          <w:smallCaps w:val="false"/>
          <w:sz w:val="20"/>
        </w:rPr>
        <w:t>. The Company shall register this Warrant, upon records to be maintained by the Company for that purpose (the “Warrant Register”),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Registration of Transfers</w:t>
      </w:r>
      <w:r>
        <w:rPr>
          <w:rFonts w:ascii="Times New Roman" w:hAnsi="Times New Roman"/>
          <w:caps w:val="false"/>
          <w:smallCaps w:val="false"/>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Upon any such registration or transfer, a new warrant to purchase Common Stock in substantially the form of this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Exercise of Warrants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All or any part of this Warrant shall be exercisable by the registered Holder in any manner permitted by Section 10 of this Warrant at any time and from time to time on or after the Original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Holder may exercise this Warrant by delivering to the Company (i) an exercise notice, in the form attached as Schedule A hereto (the “</w:t>
      </w:r>
      <w:r>
        <w:rPr>
          <w:rFonts w:ascii="Times New Roman" w:hAnsi="Times New Roman"/>
          <w:caps w:val="false"/>
          <w:smallCaps w:val="false"/>
          <w:sz w:val="20"/>
          <w:u w:val="single"/>
        </w:rPr>
        <w:t>Exercise Notice</w:t>
      </w:r>
      <w:r>
        <w:rPr>
          <w:rFonts w:ascii="Times New Roman" w:hAnsi="Times New Roman"/>
          <w:caps w:val="false"/>
          <w:smallCaps w:val="false"/>
          <w:sz w:val="20"/>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hAnsi="Times New Roman"/>
          <w:caps w:val="false"/>
          <w:smallCaps w:val="false"/>
          <w:sz w:val="20"/>
          <w:u w:val="single"/>
        </w:rPr>
        <w:t>Exercise Date</w:t>
      </w:r>
      <w:r>
        <w:rPr>
          <w:rFonts w:ascii="Times New Roman" w:hAnsi="Times New Roman"/>
          <w:caps w:val="false"/>
          <w:smallCaps w:val="false"/>
          <w:sz w:val="20"/>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Delivery of Warrant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caps w:val="false"/>
          <w:smallCaps w:val="false"/>
          <w:sz w:val="20"/>
          <w:u w:val="single"/>
        </w:rPr>
        <w:t>DTC</w:t>
      </w:r>
      <w:r>
        <w:rPr>
          <w:rFonts w:ascii="Times New Roman" w:hAnsi="Times New Roman"/>
          <w:caps w:val="false"/>
          <w:smallCaps w:val="false"/>
          <w:sz w:val="20"/>
        </w:rPr>
        <w:t>”) through its Deposit Withdrawal Agent Commission system, or if the Transfer Agent is not participating in the Fast Automated Securities Transfer Program (FAST)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delivery of the certificates evidencing such Warrant Shares,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If by the close of the second (2nd) Trading Day after the Exercise Date, the Company fails to deliver to the Holder a certificate representing the required number of Warrant Shares in the manner required pursuant to </w:t>
      </w:r>
      <w:r>
        <w:rPr>
          <w:rFonts w:ascii="Times New Roman" w:hAnsi="Times New Roman"/>
          <w:caps w:val="false"/>
          <w:smallCaps w:val="false"/>
          <w:sz w:val="20"/>
          <w:u w:val="single"/>
        </w:rPr>
        <w:t>Section 5(a)</w:t>
      </w:r>
      <w:r>
        <w:rPr>
          <w:rFonts w:ascii="Times New Roman" w:hAnsi="Times New Roman"/>
          <w:caps w:val="false"/>
          <w:smallCaps w:val="false"/>
          <w:sz w:val="20"/>
        </w:rPr>
        <w:t xml:space="preserve"> or fails to credit the Holder’s or its designee’s balance account with DTC for such number of Warrant Shares to which the Holder is entitled, and if after such second (2nd)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over the product of (A) the number of shares of Common Stock purchased in the Buy-In, times (B) the Closing Sale Price of a share of Common Stock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Charges, Taxes and Expenses</w:t>
      </w:r>
      <w:r>
        <w:rPr>
          <w:rFonts w:ascii="Times New Roman" w:hAnsi="Times New Roman"/>
          <w:caps w:val="false"/>
          <w:smallCaps w:val="false"/>
          <w:sz w:val="20"/>
        </w:rPr>
        <w:t>.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provided, however,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Replacement of Warrant</w:t>
      </w:r>
      <w:r>
        <w:rPr>
          <w:rFonts w:ascii="Times New Roman" w:hAnsi="Times New Roman"/>
          <w:caps w:val="false"/>
          <w:smallCaps w:val="false"/>
          <w:sz w:val="20"/>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Reservation of Warrant Shares</w:t>
      </w:r>
      <w:r>
        <w:rPr>
          <w:rFonts w:ascii="Times New Roman" w:hAnsi="Times New Roman"/>
          <w:caps w:val="false"/>
          <w:smallCaps w:val="false"/>
          <w:sz w:val="20"/>
        </w:rPr>
        <w:t>.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“Authorized Share Failure.” The Company covenants that all Warrant Shares so issuable and deliverable shall, upon issuance and the payment of the applicable Exercise Price in accordance with the terms hereof, be duly and validly authorized, issued and fully paid and non-assessable. The Company will take all commercially reasonable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one hundred twenty (120)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Certain Adjustments</w:t>
      </w:r>
      <w:r>
        <w:rPr>
          <w:rFonts w:ascii="Times New Roman" w:hAnsi="Times New Roman"/>
          <w:caps w:val="false"/>
          <w:smallCaps w:val="false"/>
          <w:sz w:val="20"/>
        </w:rPr>
        <w:t>. The Exercise Price and number of Warrant Shares issuable upon exercise of this Warrant are subject to adjustment from time to time as set forth in this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Stock Dividends and Splits</w:t>
      </w:r>
      <w:r>
        <w:rPr>
          <w:rFonts w:ascii="Times New Roman" w:hAnsi="Times New Roman"/>
          <w:caps w:val="false"/>
          <w:smallCaps w:val="false"/>
          <w:sz w:val="20"/>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Registration Statement,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Pro Rata Distributions</w:t>
      </w:r>
      <w:r>
        <w:rPr>
          <w:rFonts w:ascii="Times New Roman" w:hAnsi="Times New Roman"/>
          <w:caps w:val="false"/>
          <w:smallCaps w:val="false"/>
          <w:sz w:val="20"/>
        </w:rPr>
        <w:t>. In addition to any adjustments pursuant to the other subsections of this Section 9,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Original Issue Date,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Purchase Rights</w:t>
      </w:r>
      <w:r>
        <w:rPr>
          <w:rFonts w:ascii="Times New Roman" w:hAnsi="Times New Roman"/>
          <w:caps w:val="false"/>
          <w:smallCaps w:val="false"/>
          <w:sz w:val="20"/>
        </w:rPr>
        <w:t>. In addition to any adjustments pursuant to the other subsections of this Section 9, if at any time on or after the Original Issue Date, the Company grants, issues or sells any Options, Convertible Securities or rights to purchase stock, warrants, securities or other property, in each case pro rata to the record holders of any class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hAnsi="Times New Roman"/>
          <w:caps w:val="false"/>
          <w:smallCaps w:val="false"/>
          <w:sz w:val="20"/>
          <w:u w:val="single"/>
        </w:rPr>
        <w:t>Options</w:t>
      </w:r>
      <w:r>
        <w:rPr>
          <w:rFonts w:ascii="Times New Roman" w:hAnsi="Times New Roman"/>
          <w:caps w:val="false"/>
          <w:smallCaps w:val="false"/>
          <w:sz w:val="20"/>
        </w:rPr>
        <w:t>” means any rights, warrants or options to subscribe for or purchase shares of Common Stock or Convertible Securities and (ii) “</w:t>
      </w:r>
      <w:r>
        <w:rPr>
          <w:rFonts w:ascii="Times New Roman" w:hAnsi="Times New Roman"/>
          <w:caps w:val="false"/>
          <w:smallCaps w:val="false"/>
          <w:sz w:val="20"/>
          <w:u w:val="single"/>
        </w:rPr>
        <w:t>Convertible Securities</w:t>
      </w:r>
      <w:r>
        <w:rPr>
          <w:rFonts w:ascii="Times New Roman" w:hAnsi="Times New Roman"/>
          <w:caps w:val="false"/>
          <w:smallCaps w:val="false"/>
          <w:sz w:val="20"/>
        </w:rPr>
        <w:t>” mean any stock or securities (other than Options) directly or indirectly convertible into or exercisable or exchangeable for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Fundamental Transactions</w:t>
      </w:r>
      <w:r>
        <w:rPr>
          <w:rFonts w:ascii="Times New Roman" w:hAnsi="Times New Roman"/>
          <w:caps w:val="false"/>
          <w:smallCaps w:val="false"/>
          <w:sz w:val="20"/>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9(a) above) (in any such case,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Number of Warrant Shares</w:t>
      </w:r>
      <w:r>
        <w:rPr>
          <w:rFonts w:ascii="Times New Roman" w:hAnsi="Times New Roman"/>
          <w:caps w:val="false"/>
          <w:smallCaps w:val="false"/>
          <w:sz w:val="20"/>
        </w:rPr>
        <w:t>. Simultaneously with any adjustment to the Exercise Price pursuant to paragraph (a) of this Section 9,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under this Section 9 shall be made to the nearest one tenth of one cent or the nearest share,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Notice of Adjustments</w:t>
      </w:r>
      <w:r>
        <w:rPr>
          <w:rFonts w:ascii="Times New Roman" w:hAnsi="Times New Roman"/>
          <w:caps w:val="false"/>
          <w:smallCaps w:val="false"/>
          <w:sz w:val="20"/>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Notice of Corporate Events</w:t>
      </w:r>
      <w:r>
        <w:rPr>
          <w:rFonts w:ascii="Times New Roman" w:hAnsi="Times New Roman"/>
          <w:caps w:val="false"/>
          <w:smallCaps w:val="false"/>
          <w:sz w:val="20"/>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Payment of Exercise Price</w:t>
      </w:r>
      <w:r>
        <w:rPr>
          <w:rFonts w:ascii="Times New Roman" w:hAnsi="Times New Roman"/>
          <w:caps w:val="false"/>
          <w:smallCaps w:val="false"/>
          <w:sz w:val="20"/>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 = Y [(A-B)/A]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X” equals the number of Warrant Shares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Y” equals the total number of Warrant Shares with respect to which this Warrant is then being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A” equals the Closing Sale Price of the shares of Common Stock (as reported by Bloomberg Financial Markets) as of the Trading Day on the date immediately preceding the Exercise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B” equals the Exercise Price then in effect for the applicable Warrant Shares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SEC continues to take the position that such treatment is proper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the Registration Statement, or another registration statement registering the issuance of the Warrant Shares is, for any reason, not effective at the time of exercise of this Warrant, then the Warrant may only be exercised through a cashless exercise, as set forth in this Section 10. If Warrant Shares are issued in such a cashless exercise, the Company acknowledges and agrees that in accordance with Section 3(a)(9) of the Securities Act of 1933, as amended, the Warrant Shares shall take on the registered characteristics of the Warrants being exercised, and the holding period of the Warrants being exercised may be tacked on to the holding period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Limitations on 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9.99% (the “</w:t>
      </w:r>
      <w:r>
        <w:rPr>
          <w:rFonts w:ascii="Times New Roman" w:hAnsi="Times New Roman"/>
          <w:caps w:val="false"/>
          <w:smallCaps w:val="false"/>
          <w:sz w:val="20"/>
          <w:u w:val="single"/>
        </w:rPr>
        <w:t>Maximum Percentage</w:t>
      </w:r>
      <w:r>
        <w:rPr>
          <w:rFonts w:ascii="Times New Roman" w:hAnsi="Times New Roman"/>
          <w:caps w:val="false"/>
          <w:smallCaps w:val="false"/>
          <w:sz w:val="20"/>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11(a). For purposes of this Section 11(a),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11(a)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Times New Roman" w:hAnsi="Times New Roman"/>
          <w:caps w:val="false"/>
          <w:smallCaps w:val="false"/>
          <w:sz w:val="20"/>
          <w:u w:val="single"/>
        </w:rPr>
        <w:t>Reported Outstanding Share Number</w:t>
      </w:r>
      <w:r>
        <w:rPr>
          <w:rFonts w:ascii="Times New Roman" w:hAnsi="Times New Roman"/>
          <w:caps w:val="false"/>
          <w:smallCaps w:val="false"/>
          <w:sz w:val="20"/>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caps w:val="false"/>
          <w:smallCaps w:val="false"/>
          <w:sz w:val="20"/>
          <w:u w:val="single"/>
        </w:rPr>
        <w:t>Reduction Shares</w:t>
      </w:r>
      <w:r>
        <w:rPr>
          <w:rFonts w:ascii="Times New Roman" w:hAnsi="Times New Roman"/>
          <w:caps w:val="false"/>
          <w:smallCaps w:val="false"/>
          <w:sz w:val="20"/>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hAnsi="Times New Roman"/>
          <w:caps w:val="false"/>
          <w:smallCaps w:val="false"/>
          <w:sz w:val="20"/>
          <w:u w:val="single"/>
        </w:rPr>
        <w:t>Excess Shares</w:t>
      </w:r>
      <w:r>
        <w:rPr>
          <w:rFonts w:ascii="Times New Roman" w:hAnsi="Times New Roman"/>
          <w:caps w:val="false"/>
          <w:smallCaps w:val="false"/>
          <w:sz w:val="20"/>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5636(b)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 (iii) 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No Fractional Shares</w:t>
      </w:r>
      <w:r>
        <w:rPr>
          <w:rFonts w:ascii="Times New Roman" w:hAnsi="Times New Roman"/>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caps w:val="false"/>
          <w:smallCaps w:val="false"/>
          <w:sz w:val="20"/>
          <w:u w:val="single"/>
        </w:rPr>
        <w:t>Notices</w:t>
      </w:r>
      <w:r>
        <w:rPr>
          <w:rFonts w:ascii="Times New Roman" w:hAnsi="Times New Roman"/>
          <w:caps w:val="false"/>
          <w:smallCaps w:val="false"/>
          <w:sz w:val="20"/>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in the books and records of the Transfer Agent prior to 5:30 P.M., New York City time, on a Trading Day, (ii) the next Trading Day after the date of transmission, if such notice or communication is delivered via facsimile or confirmed e-mail at the facsimile number or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Warrant Agent</w:t>
      </w:r>
      <w:r>
        <w:rPr>
          <w:rFonts w:ascii="Times New Roman" w:hAnsi="Times New Roman"/>
          <w:caps w:val="false"/>
          <w:smallCaps w:val="false"/>
          <w:sz w:val="20"/>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 Rights as a Stockholder</w:t>
      </w:r>
      <w:r>
        <w:rPr>
          <w:rFonts w:ascii="Times New Roman" w:hAnsi="Times New Roman"/>
          <w:caps w:val="false"/>
          <w:smallCaps w:val="false"/>
          <w:sz w:val="20"/>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Authorized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Amendment and Waiver</w:t>
      </w:r>
      <w:r>
        <w:rPr>
          <w:rFonts w:ascii="Times New Roman" w:hAnsi="Times New Roman"/>
          <w:caps w:val="false"/>
          <w:smallCaps w:val="false"/>
          <w:sz w:val="20"/>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Acceptance</w:t>
      </w:r>
      <w:r>
        <w:rPr>
          <w:rFonts w:ascii="Times New Roman" w:hAnsi="Times New Roman"/>
          <w:caps w:val="false"/>
          <w:smallCaps w:val="false"/>
          <w:sz w:val="20"/>
        </w:rPr>
        <w:t>. Receipt of this Warrant by the Holder shall constitute acceptance of and agreement to all of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Governing Law; Jurisdiction</w:t>
      </w:r>
      <w:r>
        <w:rPr>
          <w:rFonts w:ascii="Times New Roman" w:hAnsi="Times New Roman"/>
          <w:caps w:val="false"/>
          <w:smallCaps w:val="false"/>
          <w:sz w:val="20"/>
        </w:rPr>
        <w:t>. ALL QUESTIONS CONCERNING THE CONSTRUCTION, VALIDITY, ENFORCEMENT AND INTERPRETATION OF THIS WARRANT SHALL BE GOVERNED BY AND CONSTRUED AND ENFORCED IN ACCORDANCE WITH THE LAWS OF THE STATE OF NEVADA WITHOUT REGARD TO THE PRINCIPLES OF CONFLICTS OF LAW THEREOF. EACH OF THE COMPANY AND THE HOLDER HEREBY IRREVOCABLY SUBMITS TO THE EXCLUSIVE JURISDICTION OF THE STATE AND FEDERAL COURTS SITTING IN THE STATE OF NEVADA,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Headings</w:t>
      </w:r>
      <w:r>
        <w:rPr>
          <w:rFonts w:ascii="Times New Roman" w:hAnsi="Times New Roman"/>
          <w:caps w:val="false"/>
          <w:smallCaps w:val="false"/>
          <w:sz w:val="20"/>
        </w:rPr>
        <w:t>. The headings herein are for convenience only, do not constitute a part of this Warrant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Severability</w:t>
      </w:r>
      <w:r>
        <w:rPr>
          <w:rFonts w:ascii="Times New Roman" w:hAnsi="Times New Roman"/>
          <w:caps w:val="false"/>
          <w:smallCaps w:val="false"/>
          <w:sz w:val="20"/>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Company has caused this Pre-Funded Warrant to be duly executed as of the Original Issue Date set out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9"/>
        <w:gridCol w:w="306"/>
        <w:gridCol w:w="3657"/>
        <w:gridCol w:w="1213"/>
      </w:tblGrid>
      <w:tr>
        <w:trPr/>
        <w:tc>
          <w:tcPr>
            <w:tcW w:w="5029" w:type="dxa"/>
            <w:tcBorders/>
          </w:tcPr>
          <w:p>
            <w:pPr>
              <w:pStyle w:val="TableContents"/>
              <w:bidi w:val="0"/>
              <w:spacing w:before="0" w:after="0"/>
              <w:ind w:left="0" w:right="0" w:hanging="0"/>
              <w:jc w:val="left"/>
              <w:rPr/>
            </w:pPr>
            <w:r>
              <w:rPr/>
              <w:t> </w:t>
            </w:r>
          </w:p>
        </w:tc>
        <w:tc>
          <w:tcPr>
            <w:tcW w:w="3963" w:type="dxa"/>
            <w:gridSpan w:val="2"/>
            <w:tcBorders/>
          </w:tcPr>
          <w:p>
            <w:pPr>
              <w:pStyle w:val="TableContents"/>
              <w:bidi w:val="0"/>
              <w:spacing w:before="0" w:after="0"/>
              <w:ind w:left="0" w:right="0" w:hanging="0"/>
              <w:jc w:val="left"/>
              <w:rPr/>
            </w:pPr>
            <w:r>
              <w:rPr/>
              <w:t> </w:t>
            </w:r>
          </w:p>
        </w:tc>
        <w:tc>
          <w:tcPr>
            <w:tcW w:w="1213" w:type="dxa"/>
            <w:tcBorders/>
          </w:tcPr>
          <w:p>
            <w:pPr>
              <w:pStyle w:val="TableContents"/>
              <w:bidi w:val="0"/>
              <w:spacing w:before="0" w:after="0"/>
              <w:ind w:left="0" w:right="0" w:hanging="0"/>
              <w:jc w:val="left"/>
              <w:rPr/>
            </w:pPr>
            <w:r>
              <w:rPr/>
              <w:t> </w:t>
            </w:r>
          </w:p>
        </w:tc>
      </w:tr>
      <w:tr>
        <w:trPr/>
        <w:tc>
          <w:tcPr>
            <w:tcW w:w="5029" w:type="dxa"/>
            <w:tcBorders/>
          </w:tcPr>
          <w:p>
            <w:pPr>
              <w:pStyle w:val="TableContents"/>
              <w:bidi w:val="0"/>
              <w:spacing w:before="0" w:after="0"/>
              <w:ind w:left="0" w:right="0" w:hanging="0"/>
              <w:jc w:val="left"/>
              <w:rPr/>
            </w:pPr>
            <w:r>
              <w:rPr/>
              <w:t> </w:t>
            </w:r>
          </w:p>
        </w:tc>
        <w:tc>
          <w:tcPr>
            <w:tcW w:w="306" w:type="dxa"/>
            <w:tcBorders/>
          </w:tcPr>
          <w:p>
            <w:pPr>
              <w:pStyle w:val="TableContents"/>
              <w:bidi w:val="0"/>
              <w:spacing w:before="0" w:after="0"/>
              <w:ind w:left="0" w:right="0" w:hanging="0"/>
              <w:jc w:val="left"/>
              <w:rPr/>
            </w:pPr>
            <w:r>
              <w:rPr/>
              <w:t> </w:t>
            </w:r>
          </w:p>
        </w:tc>
        <w:tc>
          <w:tcPr>
            <w:tcW w:w="3657"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VISTAGEN THERAPEUTICS,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p>
        </w:tc>
        <w:tc>
          <w:tcPr>
            <w:tcW w:w="1213" w:type="dxa"/>
            <w:tcBorders/>
          </w:tcPr>
          <w:p>
            <w:pPr>
              <w:pStyle w:val="TableContents"/>
              <w:bidi w:val="0"/>
              <w:spacing w:before="0" w:after="0"/>
              <w:ind w:left="0" w:right="0" w:hanging="0"/>
              <w:jc w:val="left"/>
              <w:rPr/>
            </w:pPr>
            <w:r>
              <w:rPr/>
              <w:t> </w:t>
            </w:r>
          </w:p>
        </w:tc>
      </w:tr>
      <w:tr>
        <w:trPr/>
        <w:tc>
          <w:tcPr>
            <w:tcW w:w="5029" w:type="dxa"/>
            <w:tcBorders/>
          </w:tcPr>
          <w:p>
            <w:pPr>
              <w:pStyle w:val="TableContents"/>
              <w:bidi w:val="0"/>
              <w:spacing w:before="0" w:after="0"/>
              <w:ind w:left="0" w:right="0" w:hanging="0"/>
              <w:jc w:val="left"/>
              <w:rPr/>
            </w:pPr>
            <w:r>
              <w:rPr/>
              <w:t> </w:t>
            </w:r>
          </w:p>
        </w:tc>
        <w:tc>
          <w:tcPr>
            <w:tcW w:w="306" w:type="dxa"/>
            <w:tcBorders/>
          </w:tcPr>
          <w:p>
            <w:pPr>
              <w:pStyle w:val="TableContents"/>
              <w:bidi w:val="0"/>
              <w:spacing w:before="0" w:after="0"/>
              <w:ind w:left="0" w:right="0" w:hanging="0"/>
              <w:jc w:val="left"/>
              <w:rPr/>
            </w:pPr>
            <w:r>
              <w:rPr/>
              <w:t> </w:t>
            </w:r>
          </w:p>
        </w:tc>
        <w:tc>
          <w:tcPr>
            <w:tcW w:w="3657" w:type="dxa"/>
            <w:tcBorders/>
          </w:tcPr>
          <w:p>
            <w:pPr>
              <w:pStyle w:val="TableContents"/>
              <w:bidi w:val="0"/>
              <w:spacing w:before="0" w:after="0"/>
              <w:ind w:left="0" w:right="0" w:hanging="0"/>
              <w:jc w:val="left"/>
              <w:rPr/>
            </w:pPr>
            <w:r>
              <w:rPr/>
              <w:t> </w:t>
            </w:r>
          </w:p>
        </w:tc>
        <w:tc>
          <w:tcPr>
            <w:tcW w:w="121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OF EXERCISE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executed by the Holder to purchase shares of Common Stock under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is the Holder of Warrant No. [ ● ] (the “</w:t>
            </w:r>
            <w:r>
              <w:rPr>
                <w:rFonts w:ascii="Times New Roman;Times;serif" w:hAnsi="Times New Roman;Times;serif"/>
                <w:sz w:val="20"/>
                <w:u w:val="single"/>
              </w:rPr>
              <w:t>Warrant</w:t>
            </w:r>
            <w:r>
              <w:rPr>
                <w:rFonts w:ascii="Times New Roman;Times;serif" w:hAnsi="Times New Roman;Times;serif"/>
                <w:sz w:val="20"/>
              </w:rPr>
              <w:t>”) issued by Vistagen Therapeutics, Inc., a Nevada corporation (the “</w:t>
            </w:r>
            <w:r>
              <w:rPr>
                <w:rFonts w:ascii="Times New Roman;Times;serif" w:hAnsi="Times New Roman;Times;serif"/>
                <w:sz w:val="20"/>
                <w:u w:val="single"/>
              </w:rPr>
              <w:t>Company</w:t>
            </w:r>
            <w:r>
              <w:rPr>
                <w:rFonts w:ascii="Times New Roman;Times;serif" w:hAnsi="Times New Roman;Times;serif"/>
                <w:sz w:val="20"/>
              </w:rPr>
              <w:t>”). Capitalized terms used herein and not otherwise defined herein have the respective meanings set forth in the Warrant.</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245"/>
        <w:gridCol w:w="76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76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hereby exercises its right to purchase Warrant Shares pursuant to the Warrant.</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245"/>
        <w:gridCol w:w="68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68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Holder intends that payment of the Exercise Price shall be made as (check one):</w:t>
            </w:r>
          </w:p>
        </w:tc>
      </w:tr>
    </w:tbl>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60"/>
        <w:gridCol w:w="1430"/>
      </w:tblGrid>
      <w:tr>
        <w:trPr/>
        <w:tc>
          <w:tcPr>
            <w:tcW w:w="60" w:type="dxa"/>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Cash Exercise</w:t>
            </w:r>
          </w:p>
        </w:tc>
      </w:tr>
    </w:tbl>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60"/>
        <w:gridCol w:w="4550"/>
      </w:tblGrid>
      <w:tr>
        <w:trPr/>
        <w:tc>
          <w:tcPr>
            <w:tcW w:w="60" w:type="dxa"/>
            <w:tcBorders/>
            <w:vAlign w:val="center"/>
          </w:tcPr>
          <w:p>
            <w:pPr>
              <w:pStyle w:val="TableContents"/>
              <w:bidi w:val="0"/>
              <w:spacing w:before="0" w:after="0"/>
              <w:ind w:left="0" w:right="0" w:hanging="0"/>
              <w:jc w:val="left"/>
              <w:rPr/>
            </w:pPr>
            <w:r>
              <w:rPr/>
              <w:t> </w:t>
            </w:r>
          </w:p>
        </w:tc>
        <w:tc>
          <w:tcPr>
            <w:tcW w:w="455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Cashless Exercise” under Section 10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the Holder has elected a Cash Exercise, the Holder shall pay the sum of $[ ● ] in immediately available funds to the Company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this Exercise Notice, the Company shall deliver to the Holder Warrant Shares determined in accordance with the terms of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or Section 11(b), as applicable, of the Warrant to which this notice relates.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of Holder: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A-12</w:t>
      </w:r>
    </w:p>
    <w:p>
      <w:pPr>
        <w:pStyle w:val="TextBody"/>
        <w:bidi w:val="0"/>
        <w:spacing w:before="0" w:after="0"/>
        <w:ind w:left="0" w:right="0" w:hanging="0"/>
        <w:jc w:val="right"/>
        <w:rPr>
          <w:rFonts w:ascii="Times New Roman;Times;serif" w:hAnsi="Times New Roman;Times;serif"/>
          <w:b/>
          <w:sz w:val="20"/>
        </w:rPr>
      </w:pPr>
      <w:bookmarkStart w:id="134" w:name="ex_576182.htm"/>
      <w:bookmarkStart w:id="135" w:name="ksex_576182"/>
      <w:bookmarkEnd w:id="134"/>
      <w:bookmarkEnd w:id="135"/>
      <w:r>
        <w:rPr>
          <w:rFonts w:ascii="Times New Roman;Times;serif" w:hAnsi="Times New Roman;Times;serif"/>
          <w:b/>
          <w:sz w:val="20"/>
        </w:rPr>
        <w:t>Exhibit 5.1</w:t>
      </w:r>
      <w:r>
        <w:br w:type="page"/>
      </w:r>
    </w:p>
    <w:p>
      <w:pPr>
        <w:pStyle w:val="TextBody"/>
        <w:bidi w:val="0"/>
        <w:spacing w:before="0" w:after="0"/>
        <w:ind w:left="0" w:right="0" w:hanging="0"/>
        <w:jc w:val="left"/>
        <w:rPr/>
      </w:pPr>
      <w:r>
        <w:rPr/>
        <w:t> </w:t>
      </w:r>
    </w:p>
    <w:tbl>
      <w:tblPr>
        <w:tblW w:w="15390" w:type="dxa"/>
        <w:jc w:val="center"/>
        <w:tblInd w:w="0" w:type="dxa"/>
        <w:tblLayout w:type="fixed"/>
        <w:tblCellMar>
          <w:top w:w="0" w:type="dxa"/>
          <w:left w:w="0" w:type="dxa"/>
          <w:bottom w:w="0" w:type="dxa"/>
          <w:right w:w="0" w:type="dxa"/>
        </w:tblCellMar>
      </w:tblPr>
      <w:tblGrid>
        <w:gridCol w:w="10695"/>
        <w:gridCol w:w="4695"/>
      </w:tblGrid>
      <w:tr>
        <w:trPr/>
        <w:tc>
          <w:tcPr>
            <w:tcW w:w="10695" w:type="dxa"/>
            <w:tcBorders/>
            <w:vAlign w:val="center"/>
          </w:tcPr>
          <w:p>
            <w:pPr>
              <w:pStyle w:val="TableContents"/>
              <w:bidi w:val="0"/>
              <w:spacing w:before="0" w:after="0"/>
              <w:jc w:val="left"/>
              <w:rPr>
                <w:color w:val="666666"/>
              </w:rPr>
            </w:pPr>
            <w:r>
              <w:rPr>
                <w:color w:val="666666"/>
              </w:rPr>
              <w:drawing>
                <wp:inline distT="0" distB="0" distL="0" distR="0">
                  <wp:extent cx="6781800" cy="469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81800" cy="469900"/>
                          </a:xfrm>
                          <a:prstGeom prst="rect">
                            <a:avLst/>
                          </a:prstGeom>
                        </pic:spPr>
                      </pic:pic>
                    </a:graphicData>
                  </a:graphic>
                </wp:inline>
              </w:drawing>
            </w:r>
          </w:p>
        </w:tc>
        <w:tc>
          <w:tcPr>
            <w:tcW w:w="4695" w:type="dxa"/>
            <w:tcBorders/>
            <w:vAlign w:val="center"/>
          </w:tcPr>
          <w:p>
            <w:pPr>
              <w:pStyle w:val="TableContents"/>
              <w:bidi w:val="0"/>
              <w:spacing w:before="0" w:after="283"/>
              <w:jc w:val="left"/>
              <w:rPr/>
            </w:pPr>
            <w:r>
              <w:rPr/>
              <w:t> </w:t>
            </w:r>
          </w:p>
        </w:tc>
      </w:tr>
      <w:tr>
        <w:trPr/>
        <w:tc>
          <w:tcPr>
            <w:tcW w:w="10695" w:type="dxa"/>
            <w:tcBorders/>
            <w:vAlign w:val="center"/>
          </w:tcPr>
          <w:p>
            <w:pPr>
              <w:pStyle w:val="TableContents"/>
              <w:bidi w:val="0"/>
              <w:spacing w:before="0" w:after="0"/>
              <w:ind w:left="720" w:right="0" w:hanging="0"/>
              <w:jc w:val="left"/>
              <w:rPr>
                <w:rFonts w:ascii="Times New Roman;Times;serif" w:hAnsi="Times New Roman;Times;serif"/>
                <w:color w:val="666666"/>
                <w:sz w:val="18"/>
              </w:rPr>
            </w:pPr>
            <w:r>
              <w:rPr>
                <w:rFonts w:ascii="Times New Roman;Times;serif" w:hAnsi="Times New Roman;Times;serif"/>
                <w:color w:val="666666"/>
                <w:sz w:val="18"/>
              </w:rPr>
              <w:t>Sierra Plaza</w:t>
            </w:r>
          </w:p>
          <w:p>
            <w:pPr>
              <w:pStyle w:val="TableContents"/>
              <w:bidi w:val="0"/>
              <w:spacing w:before="0" w:after="0"/>
              <w:ind w:left="720" w:right="0" w:hanging="0"/>
              <w:jc w:val="left"/>
              <w:rPr>
                <w:rFonts w:ascii="Times New Roman;Times;serif" w:hAnsi="Times New Roman;Times;serif"/>
                <w:color w:val="666666"/>
                <w:sz w:val="18"/>
              </w:rPr>
            </w:pPr>
            <w:r>
              <w:rPr>
                <w:rFonts w:ascii="Times New Roman;Times;serif" w:hAnsi="Times New Roman;Times;serif"/>
                <w:color w:val="666666"/>
                <w:sz w:val="18"/>
              </w:rPr>
              <w:t>6100 Neil Road, Suite 500</w:t>
            </w:r>
          </w:p>
          <w:p>
            <w:pPr>
              <w:pStyle w:val="TableContents"/>
              <w:bidi w:val="0"/>
              <w:spacing w:before="0" w:after="0"/>
              <w:ind w:left="720" w:right="0" w:hanging="0"/>
              <w:jc w:val="left"/>
              <w:rPr>
                <w:rFonts w:ascii="Times New Roman;Times;serif" w:hAnsi="Times New Roman;Times;serif"/>
                <w:color w:val="666666"/>
                <w:sz w:val="18"/>
              </w:rPr>
            </w:pPr>
            <w:r>
              <w:rPr>
                <w:rFonts w:ascii="Times New Roman;Times;serif" w:hAnsi="Times New Roman;Times;serif"/>
                <w:color w:val="666666"/>
                <w:sz w:val="18"/>
              </w:rPr>
              <w:t>Reno, Nevada 89511-1159</w:t>
            </w:r>
          </w:p>
          <w:p>
            <w:pPr>
              <w:pStyle w:val="TableContents"/>
              <w:bidi w:val="0"/>
              <w:spacing w:before="0" w:after="0"/>
              <w:ind w:left="720" w:right="0" w:hanging="0"/>
              <w:jc w:val="left"/>
              <w:rPr>
                <w:rFonts w:ascii="Times New Roman;Times;serif" w:hAnsi="Times New Roman;Times;serif"/>
                <w:color w:val="666666"/>
                <w:sz w:val="18"/>
              </w:rPr>
            </w:pPr>
            <w:r>
              <w:rPr>
                <w:rFonts w:ascii="Times New Roman;Times;serif" w:hAnsi="Times New Roman;Times;serif"/>
                <w:color w:val="666666"/>
                <w:sz w:val="18"/>
              </w:rPr>
              <w:t>775.688.3000</w:t>
            </w:r>
          </w:p>
          <w:p>
            <w:pPr>
              <w:pStyle w:val="TableContents"/>
              <w:bidi w:val="0"/>
              <w:spacing w:before="0" w:after="0"/>
              <w:ind w:left="720" w:right="0" w:hanging="0"/>
              <w:jc w:val="left"/>
              <w:rPr>
                <w:rFonts w:ascii="Times New Roman;Times;serif" w:hAnsi="Times New Roman;Times;serif"/>
                <w:color w:val="666666"/>
                <w:sz w:val="18"/>
              </w:rPr>
            </w:pPr>
            <w:r>
              <w:rPr>
                <w:rFonts w:ascii="Times New Roman;Times;serif" w:hAnsi="Times New Roman;Times;serif"/>
                <w:color w:val="666666"/>
                <w:sz w:val="18"/>
              </w:rPr>
              <w:t>woodburnandwedge.com</w:t>
            </w:r>
          </w:p>
        </w:tc>
        <w:tc>
          <w:tcPr>
            <w:tcW w:w="4695" w:type="dxa"/>
            <w:tcBorders/>
            <w:vAlign w:val="center"/>
          </w:tcPr>
          <w:p>
            <w:pPr>
              <w:pStyle w:val="TableContents"/>
              <w:bidi w:val="0"/>
              <w:spacing w:before="0" w:after="0"/>
              <w:jc w:val="right"/>
              <w:rPr>
                <w:color w:val="666666"/>
              </w:rPr>
            </w:pPr>
            <w:r>
              <w:rPr>
                <w:color w:val="666666"/>
              </w:rPr>
              <w:drawing>
                <wp:inline distT="0" distB="0" distL="0" distR="0">
                  <wp:extent cx="2971800" cy="95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71800" cy="952500"/>
                          </a:xfrm>
                          <a:prstGeom prst="rect">
                            <a:avLst/>
                          </a:prstGeom>
                        </pic:spPr>
                      </pic:pic>
                    </a:graphicData>
                  </a:graphic>
                </wp:inline>
              </w:drawing>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343 Allerton Avenue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San Francisco, California 94090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special Nevada counsel to Vistagen Therapeutics, Inc., a Nevada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in connection with the offer and sale by the Company of (i) 15,010,810 shares of common stock of the Company, $0.001 par value per share (the “</w:t>
      </w:r>
      <w:r>
        <w:rPr>
          <w:rFonts w:ascii="Times New Roman" w:hAnsi="Times New Roman"/>
          <w:caps w:val="false"/>
          <w:smallCaps w:val="false"/>
          <w:sz w:val="20"/>
          <w:u w:val="single"/>
        </w:rPr>
        <w:t>Common Shares</w:t>
      </w:r>
      <w:r>
        <w:rPr>
          <w:rFonts w:ascii="Times New Roman" w:hAnsi="Times New Roman"/>
          <w:caps w:val="false"/>
          <w:smallCaps w:val="false"/>
          <w:sz w:val="20"/>
        </w:rPr>
        <w:t>”), (ii) pre-funded warrants of the Company to purchase up to 3,577,240 Common Shares (the “</w:t>
      </w:r>
      <w:r>
        <w:rPr>
          <w:rFonts w:ascii="Times New Roman" w:hAnsi="Times New Roman"/>
          <w:caps w:val="false"/>
          <w:smallCaps w:val="false"/>
          <w:sz w:val="20"/>
          <w:u w:val="single"/>
        </w:rPr>
        <w:t>Pre-Funded Warrants</w:t>
      </w:r>
      <w:r>
        <w:rPr>
          <w:rFonts w:ascii="Times New Roman" w:hAnsi="Times New Roman"/>
          <w:caps w:val="false"/>
          <w:smallCaps w:val="false"/>
          <w:sz w:val="20"/>
        </w:rPr>
        <w:t>”), (iii) warrants of the Company to purchase up to 9,294,022 Common Shares (or Pre-Funded Warrants to purchase up to 9,294,022 Common Shares in lieu thereof) (the “</w:t>
      </w:r>
      <w:r>
        <w:rPr>
          <w:rFonts w:ascii="Times New Roman" w:hAnsi="Times New Roman"/>
          <w:caps w:val="false"/>
          <w:smallCaps w:val="false"/>
          <w:sz w:val="20"/>
          <w:u w:val="single"/>
        </w:rPr>
        <w:t>Tranche 1 Warrants</w:t>
      </w:r>
      <w:r>
        <w:rPr>
          <w:rFonts w:ascii="Times New Roman" w:hAnsi="Times New Roman"/>
          <w:caps w:val="false"/>
          <w:smallCaps w:val="false"/>
          <w:sz w:val="20"/>
        </w:rPr>
        <w:t>”), and (iv) warrants of the Company to purchase up to 11,265,086 Common Shares (or Pre-Funded Warrants to purchase up to 11,265,086 Common Shares in lieu thereof) (the “</w:t>
      </w:r>
      <w:r>
        <w:rPr>
          <w:rFonts w:ascii="Times New Roman" w:hAnsi="Times New Roman"/>
          <w:caps w:val="false"/>
          <w:smallCaps w:val="false"/>
          <w:sz w:val="20"/>
          <w:u w:val="single"/>
        </w:rPr>
        <w:t>Tranche 2 Warrants,</w:t>
      </w:r>
      <w:r>
        <w:rPr>
          <w:rFonts w:ascii="Times New Roman" w:hAnsi="Times New Roman"/>
          <w:caps w:val="false"/>
          <w:smallCaps w:val="false"/>
          <w:sz w:val="20"/>
        </w:rPr>
        <w:t>” and together with the Pre-Funded Warrants, the Tranche 1 Warrants and the Common Shares, the “</w:t>
      </w:r>
      <w:r>
        <w:rPr>
          <w:rFonts w:ascii="Times New Roman" w:hAnsi="Times New Roman"/>
          <w:caps w:val="false"/>
          <w:smallCaps w:val="false"/>
          <w:sz w:val="20"/>
          <w:u w:val="single"/>
        </w:rPr>
        <w:t>Securities</w:t>
      </w:r>
      <w:r>
        <w:rPr>
          <w:rFonts w:ascii="Times New Roman" w:hAnsi="Times New Roman"/>
          <w:caps w:val="false"/>
          <w:smallCaps w:val="false"/>
          <w:sz w:val="20"/>
        </w:rPr>
        <w:t>”). The offer and sale of the Securities have been registered pursuant to a Registration Statement on Form S-3 (Registration No. 333-254299) filed by the Company with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under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including a base prospectus dated March 26, 2021 (the “</w:t>
      </w:r>
      <w:r>
        <w:rPr>
          <w:rFonts w:ascii="Times New Roman" w:hAnsi="Times New Roman"/>
          <w:caps w:val="false"/>
          <w:smallCaps w:val="false"/>
          <w:sz w:val="20"/>
          <w:u w:val="single"/>
        </w:rPr>
        <w:t>Base Prospectus</w:t>
      </w:r>
      <w:r>
        <w:rPr>
          <w:rFonts w:ascii="Times New Roman" w:hAnsi="Times New Roman"/>
          <w:caps w:val="false"/>
          <w:smallCaps w:val="false"/>
          <w:sz w:val="20"/>
        </w:rPr>
        <w:t>”), and a final prospectus supplement dated October 2, 2023 relating to the Securities (together with the Base Prospectus, the “</w:t>
      </w:r>
      <w:r>
        <w:rPr>
          <w:rFonts w:ascii="Times New Roman" w:hAnsi="Times New Roman"/>
          <w:caps w:val="false"/>
          <w:smallCaps w:val="false"/>
          <w:sz w:val="20"/>
          <w:u w:val="single"/>
        </w:rPr>
        <w:t>Prospectus</w:t>
      </w:r>
      <w:r>
        <w:rPr>
          <w:rFonts w:ascii="Times New Roman" w:hAnsi="Times New Roman"/>
          <w:caps w:val="false"/>
          <w:smallCaps w:val="false"/>
          <w:sz w:val="20"/>
        </w:rPr>
        <w:t>”). The Company has entered into an Underwriting Agreement, dated as of October 2, 2023, by and among the Company and Jefferies LLC, Stifel, Nicolaus &amp; Company, Incorporated and William Blair &amp; Company, L.L.C., as representatives of the Underwriters listed on Schedule A thereto (the “</w:t>
      </w:r>
      <w:r>
        <w:rPr>
          <w:rFonts w:ascii="Times New Roman" w:hAnsi="Times New Roman"/>
          <w:caps w:val="false"/>
          <w:smallCaps w:val="false"/>
          <w:sz w:val="20"/>
          <w:u w:val="single"/>
        </w:rPr>
        <w:t>Underwriting Agreement</w:t>
      </w:r>
      <w:r>
        <w:rPr>
          <w:rFonts w:ascii="Times New Roman" w:hAnsi="Times New Roman"/>
          <w:caps w:val="false"/>
          <w:smallCaps w:val="false"/>
          <w:sz w:val="20"/>
        </w:rPr>
        <w:t>”), relating to the sale of the Securities. Capitalized terms used herein without definition shall have the meanings ascribed to them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this opinion, we have examined originals or copies, certified, or otherwise identified to our satisfaction, of:</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60"/>
        <w:gridCol w:w="200"/>
        <w:gridCol w:w="239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Underwriting Agreement;</w:t>
            </w:r>
          </w:p>
        </w:tc>
      </w:tr>
    </w:tbl>
    <w:tbl>
      <w:tblPr>
        <w:tblW w:w="9940" w:type="dxa"/>
        <w:jc w:val="left"/>
        <w:tblInd w:w="0" w:type="dxa"/>
        <w:tblLayout w:type="fixed"/>
        <w:tblCellMar>
          <w:top w:w="0" w:type="dxa"/>
          <w:left w:w="0" w:type="dxa"/>
          <w:bottom w:w="0" w:type="dxa"/>
          <w:right w:w="0" w:type="dxa"/>
        </w:tblCellMar>
      </w:tblPr>
      <w:tblGrid>
        <w:gridCol w:w="60"/>
        <w:gridCol w:w="260"/>
        <w:gridCol w:w="962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6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Restated Articles of Incorporation of the Company, as filed with the Nevada Secretary of State on August 11, 2016;</w:t>
            </w:r>
          </w:p>
        </w:tc>
      </w:tr>
    </w:tbl>
    <w:tbl>
      <w:tblPr>
        <w:tblW w:w="10205" w:type="dxa"/>
        <w:jc w:val="left"/>
        <w:tblInd w:w="0" w:type="dxa"/>
        <w:tblLayout w:type="fixed"/>
        <w:tblCellMar>
          <w:top w:w="0" w:type="dxa"/>
          <w:left w:w="0" w:type="dxa"/>
          <w:bottom w:w="0" w:type="dxa"/>
          <w:right w:w="0" w:type="dxa"/>
        </w:tblCellMar>
      </w:tblPr>
      <w:tblGrid>
        <w:gridCol w:w="60"/>
        <w:gridCol w:w="311"/>
        <w:gridCol w:w="9834"/>
      </w:tblGrid>
      <w:tr>
        <w:trPr/>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w:t>
            </w:r>
          </w:p>
        </w:tc>
        <w:tc>
          <w:tcPr>
            <w:tcW w:w="98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Articles of Incorporation of the Company, as filed with the Nevada Secretary of State on September 15, 2017;</w:t>
            </w:r>
          </w:p>
        </w:tc>
      </w:tr>
    </w:tbl>
    <w:tbl>
      <w:tblPr>
        <w:tblW w:w="10205" w:type="dxa"/>
        <w:jc w:val="left"/>
        <w:tblInd w:w="0" w:type="dxa"/>
        <w:tblLayout w:type="fixed"/>
        <w:tblCellMar>
          <w:top w:w="0" w:type="dxa"/>
          <w:left w:w="0" w:type="dxa"/>
          <w:bottom w:w="0" w:type="dxa"/>
          <w:right w:w="0" w:type="dxa"/>
        </w:tblCellMar>
      </w:tblPr>
      <w:tblGrid>
        <w:gridCol w:w="60"/>
        <w:gridCol w:w="297"/>
        <w:gridCol w:w="9848"/>
      </w:tblGrid>
      <w:tr>
        <w:trPr/>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w:t>
            </w:r>
          </w:p>
        </w:tc>
        <w:tc>
          <w:tcPr>
            <w:tcW w:w="98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Articles of Incorporation of the Company, as filed with the Nevada Secretary of State on September 6, 2019;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pPr>
      <w:r>
        <w:rPr/>
        <w:drawing>
          <wp:inline distT="0" distB="0" distL="0" distR="0">
            <wp:extent cx="10363200" cy="1257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363200" cy="12573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5360" w:type="dxa"/>
        <w:jc w:val="center"/>
        <w:tblInd w:w="0" w:type="dxa"/>
        <w:tblLayout w:type="fixed"/>
        <w:tblCellMar>
          <w:top w:w="0" w:type="dxa"/>
          <w:left w:w="0" w:type="dxa"/>
          <w:bottom w:w="0" w:type="dxa"/>
          <w:right w:w="0" w:type="dxa"/>
        </w:tblCellMar>
      </w:tblPr>
      <w:tblGrid>
        <w:gridCol w:w="10680"/>
        <w:gridCol w:w="4680"/>
      </w:tblGrid>
      <w:tr>
        <w:trPr/>
        <w:tc>
          <w:tcPr>
            <w:tcW w:w="10680" w:type="dxa"/>
            <w:tcBorders/>
            <w:vAlign w:val="center"/>
          </w:tcPr>
          <w:p>
            <w:pPr>
              <w:pStyle w:val="TableContents"/>
              <w:bidi w:val="0"/>
              <w:spacing w:before="0" w:after="0"/>
              <w:jc w:val="left"/>
              <w:rPr/>
            </w:pPr>
            <w:r>
              <w:rPr/>
              <w:drawing>
                <wp:inline distT="0" distB="0" distL="0" distR="0">
                  <wp:extent cx="6781800" cy="469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781800" cy="469900"/>
                          </a:xfrm>
                          <a:prstGeom prst="rect">
                            <a:avLst/>
                          </a:prstGeom>
                        </pic:spPr>
                      </pic:pic>
                    </a:graphicData>
                  </a:graphic>
                </wp:inline>
              </w:drawing>
            </w:r>
          </w:p>
        </w:tc>
        <w:tc>
          <w:tcPr>
            <w:tcW w:w="4680" w:type="dxa"/>
            <w:tcBorders/>
            <w:vAlign w:val="center"/>
          </w:tcPr>
          <w:p>
            <w:pPr>
              <w:pStyle w:val="TableContents"/>
              <w:bidi w:val="0"/>
              <w:spacing w:before="0" w:after="283"/>
              <w:jc w:val="left"/>
              <w:rPr/>
            </w:pPr>
            <w:r>
              <w:rPr/>
              <w:t> </w:t>
            </w:r>
          </w:p>
        </w:tc>
      </w:tr>
      <w:tr>
        <w:trPr/>
        <w:tc>
          <w:tcPr>
            <w:tcW w:w="10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October 4, 2023</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Page 2</w:t>
            </w:r>
          </w:p>
        </w:tc>
        <w:tc>
          <w:tcPr>
            <w:tcW w:w="4680" w:type="dxa"/>
            <w:tcBorders/>
            <w:vAlign w:val="center"/>
          </w:tcPr>
          <w:p>
            <w:pPr>
              <w:pStyle w:val="TableContents"/>
              <w:bidi w:val="0"/>
              <w:spacing w:before="0" w:after="0"/>
              <w:jc w:val="right"/>
              <w:rPr/>
            </w:pPr>
            <w:r>
              <w:rPr/>
              <w:drawing>
                <wp:inline distT="0" distB="0" distL="0" distR="0">
                  <wp:extent cx="2971800" cy="952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71800" cy="952500"/>
                          </a:xfrm>
                          <a:prstGeom prst="rect">
                            <a:avLst/>
                          </a:prstGeom>
                        </pic:spPr>
                      </pic:pic>
                    </a:graphicData>
                  </a:graphic>
                </wp:inline>
              </w:drawing>
            </w:r>
          </w:p>
        </w:tc>
      </w:tr>
    </w:tbl>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9"/>
        <w:gridCol w:w="9906"/>
      </w:tblGrid>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0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Articles of Incorporation of the Company, as filed with the Nevada Secretary of State on March 5, 2021;</w:t>
            </w:r>
          </w:p>
        </w:tc>
      </w:tr>
    </w:tbl>
    <w:tbl>
      <w:tblPr>
        <w:tblW w:w="10205" w:type="dxa"/>
        <w:jc w:val="left"/>
        <w:tblInd w:w="0" w:type="dxa"/>
        <w:tblLayout w:type="fixed"/>
        <w:tblCellMar>
          <w:top w:w="0" w:type="dxa"/>
          <w:left w:w="0" w:type="dxa"/>
          <w:bottom w:w="0" w:type="dxa"/>
          <w:right w:w="0" w:type="dxa"/>
        </w:tblCellMar>
      </w:tblPr>
      <w:tblGrid>
        <w:gridCol w:w="60"/>
        <w:gridCol w:w="300"/>
        <w:gridCol w:w="9845"/>
      </w:tblGrid>
      <w:tr>
        <w:trPr/>
        <w:tc>
          <w:tcPr>
            <w:tcW w:w="6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w:t>
            </w:r>
          </w:p>
        </w:tc>
        <w:tc>
          <w:tcPr>
            <w:tcW w:w="98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 of Amendment to Articles of Incorporation of the Company, as filed with the Nevada Secretary of State on June 5, 2023;</w:t>
            </w:r>
          </w:p>
        </w:tc>
      </w:tr>
    </w:tbl>
    <w:tbl>
      <w:tblPr>
        <w:tblW w:w="10205" w:type="dxa"/>
        <w:jc w:val="left"/>
        <w:tblInd w:w="0" w:type="dxa"/>
        <w:tblLayout w:type="fixed"/>
        <w:tblCellMar>
          <w:top w:w="0" w:type="dxa"/>
          <w:left w:w="0" w:type="dxa"/>
          <w:bottom w:w="0" w:type="dxa"/>
          <w:right w:w="0" w:type="dxa"/>
        </w:tblCellMar>
      </w:tblPr>
      <w:tblGrid>
        <w:gridCol w:w="60"/>
        <w:gridCol w:w="348"/>
        <w:gridCol w:w="9797"/>
      </w:tblGrid>
      <w:tr>
        <w:trPr/>
        <w:tc>
          <w:tcPr>
            <w:tcW w:w="60"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w:t>
            </w:r>
          </w:p>
        </w:tc>
        <w:tc>
          <w:tcPr>
            <w:tcW w:w="97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Second Amended and Restated Bylaws of the Company, adopted August 16, 2016, as amended through the date hereof, and certified to us to be currently in effect;</w:t>
            </w:r>
          </w:p>
        </w:tc>
      </w:tr>
    </w:tbl>
    <w:tbl>
      <w:tblPr>
        <w:tblW w:w="9280" w:type="dxa"/>
        <w:jc w:val="left"/>
        <w:tblInd w:w="0" w:type="dxa"/>
        <w:tblLayout w:type="fixed"/>
        <w:tblCellMar>
          <w:top w:w="0" w:type="dxa"/>
          <w:left w:w="0" w:type="dxa"/>
          <w:bottom w:w="0" w:type="dxa"/>
          <w:right w:w="0" w:type="dxa"/>
        </w:tblCellMar>
      </w:tblPr>
      <w:tblGrid>
        <w:gridCol w:w="60"/>
        <w:gridCol w:w="425"/>
        <w:gridCol w:w="8795"/>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(viii)</w:t>
            </w:r>
          </w:p>
        </w:tc>
        <w:tc>
          <w:tcPr>
            <w:tcW w:w="87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Certificate of Good Standing for the Company issued by the Nevada Secretary of State on October 4, 2023;</w:t>
            </w:r>
          </w:p>
        </w:tc>
      </w:tr>
    </w:tbl>
    <w:tbl>
      <w:tblPr>
        <w:tblW w:w="2605" w:type="dxa"/>
        <w:jc w:val="left"/>
        <w:tblInd w:w="0" w:type="dxa"/>
        <w:tblLayout w:type="fixed"/>
        <w:tblCellMar>
          <w:top w:w="0" w:type="dxa"/>
          <w:left w:w="0" w:type="dxa"/>
          <w:bottom w:w="0" w:type="dxa"/>
          <w:right w:w="0" w:type="dxa"/>
        </w:tblCellMar>
      </w:tblPr>
      <w:tblGrid>
        <w:gridCol w:w="60"/>
        <w:gridCol w:w="305"/>
        <w:gridCol w:w="224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(ix)</w:t>
            </w:r>
          </w:p>
        </w:tc>
        <w:tc>
          <w:tcPr>
            <w:tcW w:w="2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Registration Statement;</w:t>
            </w:r>
          </w:p>
        </w:tc>
      </w:tr>
    </w:tbl>
    <w:tbl>
      <w:tblPr>
        <w:tblW w:w="1990" w:type="dxa"/>
        <w:jc w:val="left"/>
        <w:tblInd w:w="0" w:type="dxa"/>
        <w:tblLayout w:type="fixed"/>
        <w:tblCellMar>
          <w:top w:w="0" w:type="dxa"/>
          <w:left w:w="0" w:type="dxa"/>
          <w:bottom w:w="0" w:type="dxa"/>
          <w:right w:w="0" w:type="dxa"/>
        </w:tblCellMar>
      </w:tblPr>
      <w:tblGrid>
        <w:gridCol w:w="60"/>
        <w:gridCol w:w="245"/>
        <w:gridCol w:w="168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w:t>
            </w:r>
          </w:p>
        </w:tc>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Base Prospectus;</w:t>
            </w:r>
          </w:p>
        </w:tc>
      </w:tr>
    </w:tbl>
    <w:tbl>
      <w:tblPr>
        <w:tblW w:w="1615" w:type="dxa"/>
        <w:jc w:val="left"/>
        <w:tblInd w:w="0" w:type="dxa"/>
        <w:tblLayout w:type="fixed"/>
        <w:tblCellMar>
          <w:top w:w="0" w:type="dxa"/>
          <w:left w:w="0" w:type="dxa"/>
          <w:bottom w:w="0" w:type="dxa"/>
          <w:right w:w="0" w:type="dxa"/>
        </w:tblCellMar>
      </w:tblPr>
      <w:tblGrid>
        <w:gridCol w:w="60"/>
        <w:gridCol w:w="305"/>
        <w:gridCol w:w="125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(xi)</w:t>
            </w:r>
          </w:p>
        </w:tc>
        <w:tc>
          <w:tcPr>
            <w:tcW w:w="1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Prospectus;</w:t>
            </w:r>
          </w:p>
        </w:tc>
      </w:tr>
    </w:tbl>
    <w:tbl>
      <w:tblPr>
        <w:tblW w:w="10205" w:type="dxa"/>
        <w:jc w:val="left"/>
        <w:tblInd w:w="0" w:type="dxa"/>
        <w:tblLayout w:type="fixed"/>
        <w:tblCellMar>
          <w:top w:w="0" w:type="dxa"/>
          <w:left w:w="0" w:type="dxa"/>
          <w:bottom w:w="0" w:type="dxa"/>
          <w:right w:w="0" w:type="dxa"/>
        </w:tblCellMar>
      </w:tblPr>
      <w:tblGrid>
        <w:gridCol w:w="60"/>
        <w:gridCol w:w="338"/>
        <w:gridCol w:w="9807"/>
      </w:tblGrid>
      <w:tr>
        <w:trPr/>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(xii)</w:t>
            </w:r>
          </w:p>
        </w:tc>
        <w:tc>
          <w:tcPr>
            <w:tcW w:w="98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notice of effectiveness filed on March 26, 2021 on the Electronic Data Gathering, Analysis and Retrieval System as to the effective time and date of the Registration Statement being on March 26, 2021;</w:t>
            </w:r>
          </w:p>
        </w:tc>
      </w:tr>
    </w:tbl>
    <w:tbl>
      <w:tblPr>
        <w:tblW w:w="10205" w:type="dxa"/>
        <w:jc w:val="left"/>
        <w:tblInd w:w="0" w:type="dxa"/>
        <w:tblLayout w:type="fixed"/>
        <w:tblCellMar>
          <w:top w:w="0" w:type="dxa"/>
          <w:left w:w="0" w:type="dxa"/>
          <w:bottom w:w="0" w:type="dxa"/>
          <w:right w:w="0" w:type="dxa"/>
        </w:tblCellMar>
      </w:tblPr>
      <w:tblGrid>
        <w:gridCol w:w="60"/>
        <w:gridCol w:w="392"/>
        <w:gridCol w:w="9753"/>
      </w:tblGrid>
      <w:tr>
        <w:trPr/>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(xiii)</w:t>
            </w:r>
          </w:p>
        </w:tc>
        <w:tc>
          <w:tcPr>
            <w:tcW w:w="97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Resolutions adopted by the Board of Directors of the Company (the “</w:t>
            </w:r>
            <w:r>
              <w:rPr>
                <w:rFonts w:ascii="Times New Roman" w:hAnsi="Times New Roman"/>
                <w:caps w:val="false"/>
                <w:smallCaps w:val="false"/>
                <w:sz w:val="20"/>
                <w:u w:val="single"/>
              </w:rPr>
              <w:t>Board of Directors</w:t>
            </w:r>
            <w:r>
              <w:rPr>
                <w:rFonts w:ascii="Times New Roman" w:hAnsi="Times New Roman"/>
                <w:caps w:val="false"/>
                <w:smallCaps w:val="false"/>
                <w:sz w:val="20"/>
              </w:rPr>
              <w:t>”) dated March 12, 2021, authorizing and approving the Registration Statement, the issuance and sale of the securities described in the Registration Statement;</w:t>
            </w:r>
          </w:p>
        </w:tc>
      </w:tr>
    </w:tbl>
    <w:tbl>
      <w:tblPr>
        <w:tblW w:w="10205" w:type="dxa"/>
        <w:jc w:val="left"/>
        <w:tblInd w:w="0" w:type="dxa"/>
        <w:tblLayout w:type="fixed"/>
        <w:tblCellMar>
          <w:top w:w="0" w:type="dxa"/>
          <w:left w:w="0" w:type="dxa"/>
          <w:bottom w:w="0" w:type="dxa"/>
          <w:right w:w="0" w:type="dxa"/>
        </w:tblCellMar>
      </w:tblPr>
      <w:tblGrid>
        <w:gridCol w:w="60"/>
        <w:gridCol w:w="378"/>
        <w:gridCol w:w="9767"/>
      </w:tblGrid>
      <w:tr>
        <w:trPr/>
        <w:tc>
          <w:tcPr>
            <w:tcW w:w="6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(xiv)</w:t>
            </w:r>
          </w:p>
        </w:tc>
        <w:tc>
          <w:tcPr>
            <w:tcW w:w="97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Resolutions of the Board of Directors adopted as of September 25, 2023, authorizing and approving the Underwriting Agreement, the issuance and sale of the Securities described in the Prospectus, and constituting the Pricing Committee;</w:t>
            </w:r>
          </w:p>
        </w:tc>
      </w:tr>
    </w:tbl>
    <w:tbl>
      <w:tblPr>
        <w:tblW w:w="8395" w:type="dxa"/>
        <w:jc w:val="left"/>
        <w:tblInd w:w="0" w:type="dxa"/>
        <w:tblLayout w:type="fixed"/>
        <w:tblCellMar>
          <w:top w:w="0" w:type="dxa"/>
          <w:left w:w="0" w:type="dxa"/>
          <w:bottom w:w="0" w:type="dxa"/>
          <w:right w:w="0" w:type="dxa"/>
        </w:tblCellMar>
      </w:tblPr>
      <w:tblGrid>
        <w:gridCol w:w="60"/>
        <w:gridCol w:w="350"/>
        <w:gridCol w:w="798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(xv)</w:t>
            </w:r>
          </w:p>
        </w:tc>
        <w:tc>
          <w:tcPr>
            <w:tcW w:w="7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Unanimous Written Consent of the Pricing Committee adopted as of October 2, 2023, authorizing:</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issuance of the Securities at a price of (</w:t>
            </w:r>
            <w:r>
              <w:rPr>
                <w:rFonts w:ascii="Times New Roman" w:hAnsi="Times New Roman"/>
                <w:i/>
                <w:caps w:val="false"/>
                <w:smallCaps w:val="false"/>
                <w:sz w:val="20"/>
              </w:rPr>
              <w:t>x</w:t>
            </w:r>
            <w:r>
              <w:rPr>
                <w:rFonts w:ascii="Times New Roman" w:hAnsi="Times New Roman"/>
                <w:caps w:val="false"/>
                <w:smallCaps w:val="false"/>
                <w:sz w:val="20"/>
              </w:rPr>
              <w:t>) $5.38 per share of Common Stock and accompanying Tranche 1 Warrant and Tranche 2 Warrant or (</w:t>
            </w:r>
            <w:r>
              <w:rPr>
                <w:rFonts w:ascii="Times New Roman" w:hAnsi="Times New Roman"/>
                <w:i/>
                <w:caps w:val="false"/>
                <w:smallCaps w:val="false"/>
                <w:sz w:val="20"/>
              </w:rPr>
              <w:t>y</w:t>
            </w:r>
            <w:r>
              <w:rPr>
                <w:rFonts w:ascii="Times New Roman" w:hAnsi="Times New Roman"/>
                <w:caps w:val="false"/>
                <w:smallCaps w:val="false"/>
                <w:sz w:val="20"/>
              </w:rPr>
              <w:t>) $5.379 per Pre-Funded Warrant and accompanying Tranche 1 Warrant and Tranche 2 Warrant;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exercise price per share of Common Stock or Pre-Funded Warrant for each Tranche 1 Warrant of $5.38, and an exercise price per share of Common Stock or Pre-Funded Warrant for each Tranche 2 Warrant of $8.877;</w:t>
            </w:r>
          </w:p>
        </w:tc>
      </w:tr>
    </w:tbl>
    <w:tbl>
      <w:tblPr>
        <w:tblW w:w="3100" w:type="dxa"/>
        <w:jc w:val="left"/>
        <w:tblInd w:w="0" w:type="dxa"/>
        <w:tblLayout w:type="fixed"/>
        <w:tblCellMar>
          <w:top w:w="0" w:type="dxa"/>
          <w:left w:w="0" w:type="dxa"/>
          <w:bottom w:w="0" w:type="dxa"/>
          <w:right w:w="0" w:type="dxa"/>
        </w:tblCellMar>
      </w:tblPr>
      <w:tblGrid>
        <w:gridCol w:w="60"/>
        <w:gridCol w:w="410"/>
        <w:gridCol w:w="2630"/>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(xvi)</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form of Pre-Funded Warrant;</w:t>
            </w:r>
          </w:p>
        </w:tc>
      </w:tr>
    </w:tbl>
    <w:tbl>
      <w:tblPr>
        <w:tblW w:w="3040" w:type="dxa"/>
        <w:jc w:val="left"/>
        <w:tblInd w:w="0" w:type="dxa"/>
        <w:tblLayout w:type="fixed"/>
        <w:tblCellMar>
          <w:top w:w="0" w:type="dxa"/>
          <w:left w:w="0" w:type="dxa"/>
          <w:bottom w:w="0" w:type="dxa"/>
          <w:right w:w="0" w:type="dxa"/>
        </w:tblCellMar>
      </w:tblPr>
      <w:tblGrid>
        <w:gridCol w:w="60"/>
        <w:gridCol w:w="470"/>
        <w:gridCol w:w="2510"/>
      </w:tblGrid>
      <w:tr>
        <w:trPr/>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(xvii)</w:t>
            </w:r>
          </w:p>
        </w:tc>
        <w:tc>
          <w:tcPr>
            <w:tcW w:w="2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form of Tranche 1 Warrant;</w:t>
            </w:r>
          </w:p>
        </w:tc>
      </w:tr>
    </w:tbl>
    <w:tbl>
      <w:tblPr>
        <w:tblW w:w="3445" w:type="dxa"/>
        <w:jc w:val="left"/>
        <w:tblInd w:w="0" w:type="dxa"/>
        <w:tblLayout w:type="fixed"/>
        <w:tblCellMar>
          <w:top w:w="0" w:type="dxa"/>
          <w:left w:w="0" w:type="dxa"/>
          <w:bottom w:w="0" w:type="dxa"/>
          <w:right w:w="0" w:type="dxa"/>
        </w:tblCellMar>
      </w:tblPr>
      <w:tblGrid>
        <w:gridCol w:w="60"/>
        <w:gridCol w:w="530"/>
        <w:gridCol w:w="2855"/>
      </w:tblGrid>
      <w:tr>
        <w:trPr/>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(xviii)</w:t>
            </w:r>
          </w:p>
        </w:tc>
        <w:tc>
          <w:tcPr>
            <w:tcW w:w="2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form of Tranche 2 Warrant; and</w:t>
            </w:r>
          </w:p>
        </w:tc>
      </w:tr>
    </w:tbl>
    <w:tbl>
      <w:tblPr>
        <w:tblW w:w="10205" w:type="dxa"/>
        <w:jc w:val="left"/>
        <w:tblInd w:w="0" w:type="dxa"/>
        <w:tblLayout w:type="fixed"/>
        <w:tblCellMar>
          <w:top w:w="0" w:type="dxa"/>
          <w:left w:w="0" w:type="dxa"/>
          <w:bottom w:w="0" w:type="dxa"/>
          <w:right w:w="0" w:type="dxa"/>
        </w:tblCellMar>
      </w:tblPr>
      <w:tblGrid>
        <w:gridCol w:w="60"/>
        <w:gridCol w:w="387"/>
        <w:gridCol w:w="9758"/>
      </w:tblGrid>
      <w:tr>
        <w:trPr/>
        <w:tc>
          <w:tcPr>
            <w:tcW w:w="6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(xix)</w:t>
            </w:r>
          </w:p>
        </w:tc>
        <w:tc>
          <w:tcPr>
            <w:tcW w:w="97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certificate, dated October 4, 2023, from an Officer of the Company as to certain factual matters, including, the incumbency of the officers of the Company (the “</w:t>
            </w:r>
            <w:r>
              <w:rPr>
                <w:rFonts w:ascii="Times New Roman" w:hAnsi="Times New Roman"/>
                <w:caps w:val="false"/>
                <w:smallCaps w:val="false"/>
                <w:sz w:val="20"/>
                <w:u w:val="single"/>
              </w:rPr>
              <w:t>Officer's Certificate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foregoing, we have examined such other instruments, documents and records that we deemed relevant and necessary for the basis of our opinion hereinafter expressed.  We have assumed the authenticity of all records, documents and instruments submitted to us as originals, the genuineness of all signatures, the legal capacity of natural persons and the conformity to the originals of all records, documents and instruments submitted to us as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10363200" cy="1257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363200" cy="1257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5360" w:type="dxa"/>
        <w:jc w:val="center"/>
        <w:tblInd w:w="0" w:type="dxa"/>
        <w:tblLayout w:type="fixed"/>
        <w:tblCellMar>
          <w:top w:w="0" w:type="dxa"/>
          <w:left w:w="0" w:type="dxa"/>
          <w:bottom w:w="0" w:type="dxa"/>
          <w:right w:w="0" w:type="dxa"/>
        </w:tblCellMar>
      </w:tblPr>
      <w:tblGrid>
        <w:gridCol w:w="10680"/>
        <w:gridCol w:w="4680"/>
      </w:tblGrid>
      <w:tr>
        <w:trPr/>
        <w:tc>
          <w:tcPr>
            <w:tcW w:w="10680" w:type="dxa"/>
            <w:tcBorders/>
            <w:vAlign w:val="center"/>
          </w:tcPr>
          <w:p>
            <w:pPr>
              <w:pStyle w:val="TableContents"/>
              <w:bidi w:val="0"/>
              <w:spacing w:before="0" w:after="0"/>
              <w:jc w:val="left"/>
              <w:rPr/>
            </w:pPr>
            <w:r>
              <w:rPr/>
              <w:drawing>
                <wp:inline distT="0" distB="0" distL="0" distR="0">
                  <wp:extent cx="6781800" cy="469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781800" cy="469900"/>
                          </a:xfrm>
                          <a:prstGeom prst="rect">
                            <a:avLst/>
                          </a:prstGeom>
                        </pic:spPr>
                      </pic:pic>
                    </a:graphicData>
                  </a:graphic>
                </wp:inline>
              </w:drawing>
            </w:r>
          </w:p>
        </w:tc>
        <w:tc>
          <w:tcPr>
            <w:tcW w:w="4680" w:type="dxa"/>
            <w:tcBorders/>
            <w:vAlign w:val="center"/>
          </w:tcPr>
          <w:p>
            <w:pPr>
              <w:pStyle w:val="TableContents"/>
              <w:bidi w:val="0"/>
              <w:spacing w:before="0" w:after="283"/>
              <w:jc w:val="left"/>
              <w:rPr/>
            </w:pPr>
            <w:r>
              <w:rPr/>
              <w:t> </w:t>
            </w:r>
          </w:p>
        </w:tc>
      </w:tr>
      <w:tr>
        <w:trPr/>
        <w:tc>
          <w:tcPr>
            <w:tcW w:w="10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October 4, 2023</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Page 3</w:t>
            </w:r>
          </w:p>
        </w:tc>
        <w:tc>
          <w:tcPr>
            <w:tcW w:w="4680" w:type="dxa"/>
            <w:tcBorders/>
            <w:vAlign w:val="center"/>
          </w:tcPr>
          <w:p>
            <w:pPr>
              <w:pStyle w:val="TableContents"/>
              <w:bidi w:val="0"/>
              <w:spacing w:before="0" w:after="0"/>
              <w:jc w:val="right"/>
              <w:rPr/>
            </w:pPr>
            <w:r>
              <w:rPr/>
              <w:drawing>
                <wp:inline distT="0" distB="0" distL="0" distR="0">
                  <wp:extent cx="2971800" cy="952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71800" cy="95250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rendering the opinions contained herein, we have, with your permission, made the following assumptions: (i) all documents submitted to or reviewed by us, including all amendments and supplements thereto, are accurate and complete and, if not originals, are true, correct, and complete copies of the originals; (ii) the signatures on each of such documents by the parties thereto are genuine; (iii) each individual who signed such documents had the legal capacity to do so; (iv) all persons who signed such documents on behalf of a business entity were duly authorized to do so; (v) all statements in certificates of public officials and officers of the Company that we reviewed were and are accurate, and (vi) all representations made by the Company as to matters of fact in the documents that we reviewed were and are accurate. We have assumed that there are no amendments, modifications, or supplements to such documents other than those amendments, modifications, and supplements that are known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is limited to the Nevada Revised Statutes, and we disclaim any opinion as to the laws of any other jurisdiction.  We further disclaim any opinion as to any other statute, rule, regulation, ordinance, order or other promulgation of any other jurisdiction or any regional or local governmental body or as to any related judicial or administrative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upon the foregoing and our examination of such questions of law as we have deemed necessary or appropriate for the purpose of this opinion, it is our opinion that the ‎Common Shares have been duly authorized and, when issued and delivered pursuant to the Underwriting Agreement upon receipt by the Company of the consideration described therein, will be validly issued, fully paid and non-assessable. The Pre-Funded Warrants, the Tranche 1 Warrants, and the Tranche 2 Warrants have been duly authorized and, when executed and delivered by the Company pursuant to the Underwriting Agreement upon receipt by the Company of the consideration described therein, will be valid and binding obligations of the Company. The Common Shares issuable upon exercise of the Pre-Funded Warrants, the Tranche 1 Warrants, and the Tranche 2 Warrants have been duly authorized and, when issued and paid for upon exercise of the Pre-Funded Warrants, the Tranche 1 Warrants, or the Tranche 2 Warrants in accordance with the terms of the Pre-Funded Warrants, the Tranche 1 Warrants, or the Tranche 2 Warrants, as the case may be, will be validly issued, fully paid and nonassessable, to the extent such issues are governed by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is rendered to you in connection with the Registration Statement and is not to be relied upon for any other purpose. We disclaim any obligation to advise you of any change of law that occurs, or any facts of which we may become aware, after the date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is based upon our knowledge of the law and facts relevant to the transactions herein referenced as of the date hereof. We assume no duty to update or supplement this opinion to reflect any facts or circumstances that may hereafter come to our attention or to reflect any changes in any law that may hereafter occur or become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right"/>
        <w:rPr/>
      </w:pPr>
      <w:r>
        <w:rPr/>
        <w:drawing>
          <wp:inline distT="0" distB="0" distL="0" distR="0">
            <wp:extent cx="10363200" cy="1257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363200" cy="1257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5360" w:type="dxa"/>
        <w:jc w:val="center"/>
        <w:tblInd w:w="0" w:type="dxa"/>
        <w:tblLayout w:type="fixed"/>
        <w:tblCellMar>
          <w:top w:w="0" w:type="dxa"/>
          <w:left w:w="0" w:type="dxa"/>
          <w:bottom w:w="0" w:type="dxa"/>
          <w:right w:w="0" w:type="dxa"/>
        </w:tblCellMar>
      </w:tblPr>
      <w:tblGrid>
        <w:gridCol w:w="10680"/>
        <w:gridCol w:w="4680"/>
      </w:tblGrid>
      <w:tr>
        <w:trPr/>
        <w:tc>
          <w:tcPr>
            <w:tcW w:w="10680" w:type="dxa"/>
            <w:tcBorders/>
            <w:vAlign w:val="center"/>
          </w:tcPr>
          <w:p>
            <w:pPr>
              <w:pStyle w:val="TableContents"/>
              <w:bidi w:val="0"/>
              <w:spacing w:before="0" w:after="0"/>
              <w:jc w:val="left"/>
              <w:rPr/>
            </w:pPr>
            <w:r>
              <w:rPr/>
              <w:drawing>
                <wp:inline distT="0" distB="0" distL="0" distR="0">
                  <wp:extent cx="6781800" cy="469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781800" cy="469900"/>
                          </a:xfrm>
                          <a:prstGeom prst="rect">
                            <a:avLst/>
                          </a:prstGeom>
                        </pic:spPr>
                      </pic:pic>
                    </a:graphicData>
                  </a:graphic>
                </wp:inline>
              </w:drawing>
            </w:r>
          </w:p>
        </w:tc>
        <w:tc>
          <w:tcPr>
            <w:tcW w:w="4680" w:type="dxa"/>
            <w:tcBorders/>
            <w:vAlign w:val="center"/>
          </w:tcPr>
          <w:p>
            <w:pPr>
              <w:pStyle w:val="TableContents"/>
              <w:bidi w:val="0"/>
              <w:spacing w:before="0" w:after="283"/>
              <w:jc w:val="left"/>
              <w:rPr/>
            </w:pPr>
            <w:r>
              <w:rPr/>
              <w:t> </w:t>
            </w:r>
          </w:p>
        </w:tc>
      </w:tr>
      <w:tr>
        <w:trPr/>
        <w:tc>
          <w:tcPr>
            <w:tcW w:w="10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October 4, 2023</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Page 4</w:t>
            </w:r>
          </w:p>
        </w:tc>
        <w:tc>
          <w:tcPr>
            <w:tcW w:w="4680" w:type="dxa"/>
            <w:tcBorders/>
            <w:vAlign w:val="center"/>
          </w:tcPr>
          <w:p>
            <w:pPr>
              <w:pStyle w:val="TableContents"/>
              <w:bidi w:val="0"/>
              <w:spacing w:before="0" w:after="0"/>
              <w:jc w:val="right"/>
              <w:rPr/>
            </w:pPr>
            <w:r>
              <w:rPr/>
              <w:drawing>
                <wp:inline distT="0" distB="0" distL="0" distR="0">
                  <wp:extent cx="2971800" cy="952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71800" cy="952500"/>
                          </a:xfrm>
                          <a:prstGeom prst="rect">
                            <a:avLst/>
                          </a:prstGeom>
                        </pic:spPr>
                      </pic:pic>
                    </a:graphicData>
                  </a:graphic>
                </wp:inline>
              </w:drawing>
            </w:r>
          </w:p>
        </w:tc>
      </w:tr>
    </w:tbl>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opinion as an exhibit to the Registration Statement. In giving this consent, we do not thereby admit that we are included in the category of persons whose consent is required under Section 7 of the Securities Act or the rules and regulations of the Securities and Exchange Commission.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768"/>
        <w:gridCol w:w="373"/>
        <w:gridCol w:w="3903"/>
        <w:gridCol w:w="1161"/>
      </w:tblGrid>
      <w:tr>
        <w:trPr/>
        <w:tc>
          <w:tcPr>
            <w:tcW w:w="4768" w:type="dxa"/>
            <w:tcBorders/>
          </w:tcPr>
          <w:p>
            <w:pPr>
              <w:pStyle w:val="TableContents"/>
              <w:bidi w:val="0"/>
              <w:spacing w:before="0" w:after="0"/>
              <w:ind w:left="0" w:right="0" w:hanging="0"/>
              <w:jc w:val="left"/>
              <w:rPr/>
            </w:pPr>
            <w:r>
              <w:rPr/>
              <w:t> </w:t>
            </w:r>
          </w:p>
        </w:tc>
        <w:tc>
          <w:tcPr>
            <w:tcW w:w="4276"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WOODBURN AND WEDGE</w:t>
            </w:r>
          </w:p>
        </w:tc>
        <w:tc>
          <w:tcPr>
            <w:tcW w:w="1161" w:type="dxa"/>
            <w:tcBorders/>
          </w:tcPr>
          <w:p>
            <w:pPr>
              <w:pStyle w:val="TableContents"/>
              <w:bidi w:val="0"/>
              <w:spacing w:before="0" w:after="0"/>
              <w:ind w:left="0" w:right="0" w:hanging="0"/>
              <w:jc w:val="left"/>
              <w:rPr/>
            </w:pPr>
            <w:r>
              <w:rPr/>
              <w:t> </w:t>
            </w:r>
          </w:p>
        </w:tc>
      </w:tr>
      <w:tr>
        <w:trPr/>
        <w:tc>
          <w:tcPr>
            <w:tcW w:w="4768" w:type="dxa"/>
            <w:tcBorders/>
          </w:tcPr>
          <w:p>
            <w:pPr>
              <w:pStyle w:val="TableContents"/>
              <w:bidi w:val="0"/>
              <w:spacing w:before="0" w:after="0"/>
              <w:ind w:left="0" w:right="0" w:hanging="0"/>
              <w:jc w:val="left"/>
              <w:rPr/>
            </w:pPr>
            <w:r>
              <w:rPr/>
              <w:t> </w:t>
            </w:r>
          </w:p>
        </w:tc>
        <w:tc>
          <w:tcPr>
            <w:tcW w:w="373" w:type="dxa"/>
            <w:tcBorders/>
          </w:tcPr>
          <w:p>
            <w:pPr>
              <w:pStyle w:val="TableContents"/>
              <w:bidi w:val="0"/>
              <w:spacing w:before="0" w:after="0"/>
              <w:ind w:left="0" w:right="0" w:hanging="0"/>
              <w:jc w:val="left"/>
              <w:rPr/>
            </w:pPr>
            <w:r>
              <w:rPr/>
              <w:t> </w:t>
            </w:r>
          </w:p>
        </w:tc>
        <w:tc>
          <w:tcPr>
            <w:tcW w:w="3903" w:type="dxa"/>
            <w:tcBorders/>
          </w:tcPr>
          <w:p>
            <w:pPr>
              <w:pStyle w:val="TableContents"/>
              <w:bidi w:val="0"/>
              <w:spacing w:before="0" w:after="0"/>
              <w:ind w:left="0" w:right="0" w:hanging="0"/>
              <w:jc w:val="left"/>
              <w:rPr/>
            </w:pPr>
            <w:r>
              <w:rPr/>
              <w:t> </w:t>
            </w:r>
          </w:p>
        </w:tc>
        <w:tc>
          <w:tcPr>
            <w:tcW w:w="1161" w:type="dxa"/>
            <w:tcBorders/>
          </w:tcPr>
          <w:p>
            <w:pPr>
              <w:pStyle w:val="TableContents"/>
              <w:bidi w:val="0"/>
              <w:spacing w:before="0" w:after="0"/>
              <w:ind w:left="0" w:right="0" w:hanging="0"/>
              <w:jc w:val="left"/>
              <w:rPr/>
            </w:pPr>
            <w:r>
              <w:rPr/>
              <w:t> </w:t>
            </w:r>
          </w:p>
        </w:tc>
      </w:tr>
      <w:tr>
        <w:trPr/>
        <w:tc>
          <w:tcPr>
            <w:tcW w:w="4768" w:type="dxa"/>
            <w:tcBorders/>
          </w:tcPr>
          <w:p>
            <w:pPr>
              <w:pStyle w:val="TableContents"/>
              <w:bidi w:val="0"/>
              <w:spacing w:before="0" w:after="0"/>
              <w:ind w:left="0" w:right="0" w:hanging="0"/>
              <w:jc w:val="left"/>
              <w:rPr/>
            </w:pPr>
            <w:r>
              <w:rPr/>
              <w:t> </w:t>
            </w:r>
          </w:p>
        </w:tc>
        <w:tc>
          <w:tcPr>
            <w:tcW w:w="373" w:type="dxa"/>
            <w:tcBorders/>
          </w:tcPr>
          <w:p>
            <w:pPr>
              <w:pStyle w:val="TableContents"/>
              <w:bidi w:val="0"/>
              <w:spacing w:before="0" w:after="0"/>
              <w:ind w:left="0" w:right="0" w:hanging="0"/>
              <w:jc w:val="left"/>
              <w:rPr/>
            </w:pPr>
            <w:r>
              <w:rPr/>
              <w:t> </w:t>
            </w:r>
          </w:p>
        </w:tc>
        <w:tc>
          <w:tcPr>
            <w:tcW w:w="3903" w:type="dxa"/>
            <w:tcBorders/>
            <w:vAlign w:val="bottom"/>
          </w:tcPr>
          <w:p>
            <w:pPr>
              <w:pStyle w:val="TableContents"/>
              <w:bidi w:val="0"/>
              <w:spacing w:before="0" w:after="0"/>
              <w:ind w:left="0" w:right="0" w:hanging="0"/>
              <w:jc w:val="left"/>
              <w:rPr/>
            </w:pPr>
            <w:r>
              <w:rPr/>
              <w:t> </w:t>
            </w:r>
          </w:p>
        </w:tc>
        <w:tc>
          <w:tcPr>
            <w:tcW w:w="1161" w:type="dxa"/>
            <w:tcBorders/>
          </w:tcPr>
          <w:p>
            <w:pPr>
              <w:pStyle w:val="TableContents"/>
              <w:bidi w:val="0"/>
              <w:spacing w:before="0" w:after="0"/>
              <w:ind w:left="0" w:right="0" w:hanging="0"/>
              <w:jc w:val="left"/>
              <w:rPr/>
            </w:pPr>
            <w:r>
              <w:rPr/>
              <w:t> </w:t>
            </w:r>
          </w:p>
        </w:tc>
      </w:tr>
      <w:tr>
        <w:trPr/>
        <w:tc>
          <w:tcPr>
            <w:tcW w:w="4768" w:type="dxa"/>
            <w:tcBorders/>
          </w:tcPr>
          <w:p>
            <w:pPr>
              <w:pStyle w:val="TableContents"/>
              <w:bidi w:val="0"/>
              <w:spacing w:before="0" w:after="283"/>
              <w:jc w:val="left"/>
              <w:rPr/>
            </w:pPr>
            <w:r>
              <w:rPr/>
              <w:t> </w:t>
            </w:r>
          </w:p>
        </w:tc>
        <w:tc>
          <w:tcPr>
            <w:tcW w:w="373" w:type="dxa"/>
            <w:tcBorders/>
          </w:tcPr>
          <w:p>
            <w:pPr>
              <w:pStyle w:val="TableContents"/>
              <w:bidi w:val="0"/>
              <w:spacing w:before="0" w:after="283"/>
              <w:jc w:val="left"/>
              <w:rPr/>
            </w:pPr>
            <w:r>
              <w:rPr/>
              <w:t> </w:t>
            </w:r>
          </w:p>
        </w:tc>
        <w:tc>
          <w:tcPr>
            <w:tcW w:w="3903" w:type="dxa"/>
            <w:tcBorders/>
            <w:vAlign w:val="bottom"/>
          </w:tcPr>
          <w:p>
            <w:pPr>
              <w:pStyle w:val="TableContents"/>
              <w:bidi w:val="0"/>
              <w:spacing w:before="0" w:after="283"/>
              <w:jc w:val="left"/>
              <w:rPr/>
            </w:pPr>
            <w:r>
              <w:rPr/>
              <w:t> </w:t>
            </w:r>
          </w:p>
        </w:tc>
        <w:tc>
          <w:tcPr>
            <w:tcW w:w="1161" w:type="dxa"/>
            <w:tcBorders/>
          </w:tcPr>
          <w:p>
            <w:pPr>
              <w:pStyle w:val="TableContents"/>
              <w:bidi w:val="0"/>
              <w:spacing w:before="0" w:after="283"/>
              <w:jc w:val="left"/>
              <w:rPr/>
            </w:pPr>
            <w:r>
              <w:rPr/>
              <w:t> </w:t>
            </w:r>
          </w:p>
        </w:tc>
      </w:tr>
      <w:tr>
        <w:trPr/>
        <w:tc>
          <w:tcPr>
            <w:tcW w:w="4768" w:type="dxa"/>
            <w:tcBorders/>
          </w:tcPr>
          <w:p>
            <w:pPr>
              <w:pStyle w:val="TableContents"/>
              <w:bidi w:val="0"/>
              <w:spacing w:before="0" w:after="0"/>
              <w:ind w:left="0" w:right="0" w:hanging="0"/>
              <w:jc w:val="left"/>
              <w:rPr/>
            </w:pPr>
            <w:r>
              <w:rPr/>
              <w:t> </w:t>
            </w:r>
          </w:p>
        </w:tc>
        <w:tc>
          <w:tcPr>
            <w:tcW w:w="37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03"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Shawn G. Pearson</w:t>
            </w:r>
          </w:p>
        </w:tc>
        <w:tc>
          <w:tcPr>
            <w:tcW w:w="1161" w:type="dxa"/>
            <w:tcBorders/>
          </w:tcPr>
          <w:p>
            <w:pPr>
              <w:pStyle w:val="TableContents"/>
              <w:bidi w:val="0"/>
              <w:spacing w:before="0" w:after="0"/>
              <w:ind w:left="0" w:right="0" w:hanging="0"/>
              <w:jc w:val="left"/>
              <w:rPr/>
            </w:pPr>
            <w:r>
              <w:rPr/>
              <w:t> </w:t>
            </w:r>
          </w:p>
        </w:tc>
      </w:tr>
      <w:tr>
        <w:trPr/>
        <w:tc>
          <w:tcPr>
            <w:tcW w:w="4768" w:type="dxa"/>
            <w:tcBorders/>
          </w:tcPr>
          <w:p>
            <w:pPr>
              <w:pStyle w:val="TableContents"/>
              <w:bidi w:val="0"/>
              <w:spacing w:before="0" w:after="0"/>
              <w:ind w:left="0" w:right="0" w:hanging="0"/>
              <w:jc w:val="left"/>
              <w:rPr/>
            </w:pPr>
            <w:r>
              <w:rPr/>
              <w:t> </w:t>
            </w:r>
          </w:p>
        </w:tc>
        <w:tc>
          <w:tcPr>
            <w:tcW w:w="373" w:type="dxa"/>
            <w:tcBorders/>
          </w:tcPr>
          <w:p>
            <w:pPr>
              <w:pStyle w:val="TableContents"/>
              <w:bidi w:val="0"/>
              <w:spacing w:before="0" w:after="0"/>
              <w:ind w:left="0" w:right="0" w:hanging="0"/>
              <w:jc w:val="left"/>
              <w:rPr/>
            </w:pPr>
            <w:r>
              <w:rPr/>
              <w:t> </w:t>
            </w:r>
          </w:p>
        </w:tc>
        <w:tc>
          <w:tcPr>
            <w:tcW w:w="390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Shawn G. Pearson</w:t>
            </w:r>
          </w:p>
        </w:tc>
        <w:tc>
          <w:tcPr>
            <w:tcW w:w="1161" w:type="dxa"/>
            <w:tcBorders/>
          </w:tcPr>
          <w:p>
            <w:pPr>
              <w:pStyle w:val="TableContents"/>
              <w:bidi w:val="0"/>
              <w:spacing w:before="0" w:after="0"/>
              <w:ind w:left="0" w:right="0" w:hanging="0"/>
              <w:jc w:val="left"/>
              <w:rPr/>
            </w:pPr>
            <w:r>
              <w:rPr/>
              <w:t> </w:t>
            </w:r>
          </w:p>
        </w:tc>
      </w:tr>
      <w:tr>
        <w:trPr/>
        <w:tc>
          <w:tcPr>
            <w:tcW w:w="4768" w:type="dxa"/>
            <w:tcBorders/>
          </w:tcPr>
          <w:p>
            <w:pPr>
              <w:pStyle w:val="TableContents"/>
              <w:bidi w:val="0"/>
              <w:spacing w:before="0" w:after="0"/>
              <w:ind w:left="0" w:right="0" w:hanging="0"/>
              <w:jc w:val="left"/>
              <w:rPr/>
            </w:pPr>
            <w:r>
              <w:rPr/>
              <w:t> </w:t>
            </w:r>
          </w:p>
        </w:tc>
        <w:tc>
          <w:tcPr>
            <w:tcW w:w="373" w:type="dxa"/>
            <w:tcBorders/>
          </w:tcPr>
          <w:p>
            <w:pPr>
              <w:pStyle w:val="TableContents"/>
              <w:bidi w:val="0"/>
              <w:spacing w:before="0" w:after="0"/>
              <w:ind w:left="0" w:right="0" w:hanging="0"/>
              <w:jc w:val="left"/>
              <w:rPr/>
            </w:pPr>
            <w:r>
              <w:rPr/>
              <w:t> </w:t>
            </w:r>
          </w:p>
        </w:tc>
        <w:tc>
          <w:tcPr>
            <w:tcW w:w="3903" w:type="dxa"/>
            <w:tcBorders/>
          </w:tcPr>
          <w:p>
            <w:pPr>
              <w:pStyle w:val="TableContents"/>
              <w:bidi w:val="0"/>
              <w:spacing w:before="0" w:after="0"/>
              <w:ind w:left="0" w:right="0" w:hanging="0"/>
              <w:jc w:val="left"/>
              <w:rPr/>
            </w:pPr>
            <w:r>
              <w:rPr/>
              <w:t> </w:t>
            </w:r>
          </w:p>
        </w:tc>
        <w:tc>
          <w:tcPr>
            <w:tcW w:w="1161"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10363200" cy="1257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363200" cy="1257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36" w:name="ex_576137.htm"/>
      <w:bookmarkStart w:id="137" w:name="ksex_576137"/>
      <w:bookmarkEnd w:id="136"/>
      <w:bookmarkEnd w:id="137"/>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4333875" cy="2438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0441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160520" cy="230441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333875" cy="2438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333875" cy="2438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333875" cy="2438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333875" cy="2438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333875" cy="2438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333875" cy="2438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333875" cy="24384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5778500" cy="32512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5778500" cy="32512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333875" cy="24384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4333875" cy="24384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0441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4160520" cy="230441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4160520" cy="234061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4160520" cy="234061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38" w:name="ex_576138.htm"/>
      <w:bookmarkStart w:id="139" w:name="ksex_576138"/>
      <w:bookmarkEnd w:id="138"/>
      <w:bookmarkEnd w:id="139"/>
      <w:r>
        <w:rPr>
          <w:rFonts w:ascii="Times New Roman;Times;serif" w:hAnsi="Times New Roman;Times;serif"/>
          <w:b/>
          <w:sz w:val="20"/>
        </w:rPr>
        <w:t>Exhibit 99.2</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76450" cy="5619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207645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Vistagen Announces Pricing of $100 Million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SAN FRANCISCO, Calif.--(BUSINESS WIRE)--Oct. 2, 2023-- Vistagen Therapeutics, Inc. (“Vistagen”) (Nasdaq: VTGN), a late clinical-stage biopharmaceutical company aiming to transform the treatment landscape for individuals living with anxiety, depression, and other central nervous system (“CNS”) disorders, today announced the pricing of a $100 million underwritten offering of its common stock (or pre-funded warrants to purchase common stock) and warrants to purchase common stock (or pre-funded warrants in lieu thereof), before deducting underwriting discounts and commissions and estimated offering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financing was led by BVF Partners LP with participation from Commodore Capital, Great Point Partners, Logos Capital, Nantahala Capital, Surveyor Capital (a Citadel company), and TCGX along with additional institutional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 combined purchase price of $5.38 per share of common stock, accompanying T1 Warrant and accompanying T2 Warrant (as defined below), the offering consists of 15,010,810 shares of Vistagen common stock, accompanying warrants to purchase up to 9,294,022 shares of Vistagen common stock (or pre-funded warrants in lieu thereof) at an exercise price of $5.38 per share or pre-funded warrant (the “T1 Warrants”), and accompanying warrants to purchase up to 11,265,086 shares of its common stock (or pre-funded warrants in lieu thereof) at an exercise price of $8.877 per share or pre-funded warrant (the “T2 Warrants”); and, to certain investors in lieu of common stock, pre-funded warrants to purchase up to 3,577,240 shares of Vistagen common stock, accompanying T1 Warrants and accompanying T2 Warrants at a combined price of $5.379 per pre-funded warrant, accompanying T1 Warrant and accompanying T2 Warrant, which represents the per share offering price for the common stock, accompanying T1 Warrant and accompanying T2 Warrant less the $0.001 per share exercise price for each such pre-funded warrant, in each case before deducting underwriting discounts and commissions. Each share of common stock or pre-funded warrant will be sold with an accompanying T1 Warrant and T2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total gross proceeds to Vistagen from this offering are expected to be approximately $100 million, before deducting underwriting discounts and commissions and estimated offering expenses payable by Vistagen and excluding any potential future proceeds of up to $50 million from the exercise of the T1 Warrants and up to $100 million from the exercise of the T2 Warrants. Vistagen intends to use the net proceeds from the offering, together with its existing cash and cash equivalents, for research, development, manufacturing, and regulatory expenses associated with development of its product candidates, including, primarily, its PALISADE Phase 3 program for fasedienol for the acute treatment of anxiety in adults with social anxiety disorder ("SAD"), and for other working capital and general corporate purposes. If its PALISADE Phase 3 program is successful, Vistagen believes the proceeds from this offering, together with its existing cash and cash equivalents, will be sufficient to fund its operations through its potential submission of a U.S. New Drug Application for fasedienol for the acute treatment of anxiety in adults with SAD. All of the shares of common stock, pre-funded warrants, T1 Warrants, and T2 Warrants to be sold in the offering are being sold by Vistagen. The offering is expected to close on October 4, 2023,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Jefferies, Stifel, and William Blair are acting as joint book-running managers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These securities were offered by Vistagen pursuant to its existing shelf registration statement (File No. 333-254299) filed with the Securities and Exchange Commission (“SEC”) on March 15, 2021 and declared effective on March 26, 2021. A prospectus supplement describing the terms of the offering will be filed with the SEC and will form a part of the effective registration statement. When available, copies of the prospectus supplement and accompanying prospectus relating to the offering may be obtained by contacting Jefferies LLC, Attention: Equity Syndicate Prospectus Department, 520 Madison Avenue, 2nd Floor, New York, NY 10022, by telephone at (877) 547-6340, or by email at </w:t>
      </w:r>
      <w:r>
        <w:rPr>
          <w:rFonts w:ascii="Times New Roman" w:hAnsi="Times New Roman"/>
          <w:caps w:val="false"/>
          <w:smallCaps w:val="false"/>
          <w:sz w:val="20"/>
          <w:u w:val="single"/>
        </w:rPr>
        <w:t>Prospectus_Department@Jefferies.com</w:t>
      </w:r>
      <w:r>
        <w:rPr>
          <w:rFonts w:ascii="Times New Roman" w:hAnsi="Times New Roman"/>
          <w:caps w:val="false"/>
          <w:smallCaps w:val="false"/>
          <w:sz w:val="20"/>
        </w:rPr>
        <w:t xml:space="preserve">; Stifel, Nicolaus &amp; Company, Incorporated, Attention: Syndicate, One Montgomery Street, Suite 3700, San Francisco, CA 94104, by telephone at (415) 364-2720, or by email at </w:t>
      </w:r>
      <w:r>
        <w:rPr>
          <w:rFonts w:ascii="Times New Roman" w:hAnsi="Times New Roman"/>
          <w:caps w:val="false"/>
          <w:smallCaps w:val="false"/>
          <w:sz w:val="20"/>
          <w:u w:val="single"/>
        </w:rPr>
        <w:t>syndprospectus@stifel.com</w:t>
      </w:r>
      <w:r>
        <w:rPr>
          <w:rFonts w:ascii="Times New Roman" w:hAnsi="Times New Roman"/>
          <w:caps w:val="false"/>
          <w:smallCaps w:val="false"/>
          <w:sz w:val="20"/>
        </w:rPr>
        <w:t xml:space="preserve">; or William Blair &amp; Company, L.L.C., Attention: Prospectus Department, 150 North Riverside Plaza, Chicago, IL 60606, by telephone at (800) 621-0687, or by email at prospectus@williamblair.com. An electronic copy of the prospectus supplement and accompanying prospectus relating to the offering will be available on the SEC website at </w:t>
      </w:r>
      <w:r>
        <w:rPr>
          <w:rFonts w:ascii="Times New Roman" w:hAnsi="Times New Roman"/>
          <w:caps w:val="false"/>
          <w:smallCaps w:val="false"/>
          <w:sz w:val="20"/>
          <w:u w:val="single"/>
        </w:rPr>
        <w:t>www.sec.gov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does not constitute an offer to sell or the solicitation of offers to buy any securities of Vistagen, and shall not constitute an offer, solicitation, or sale of any security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Vistagen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includes six clinical-stage product candidates, including fasedienol, itruvone, PH80, PH15, and PH284, each an investigational agent belonging to a new class of drugs known as pherines, as well as AV-101, which is an oral prodrug of an antagonist of the N-methyl-D-aspartate receptor. Pherines are neuroactive nasal sprays designed with an innovative proposed mechanism of action that activates chemosensory neurons in the nasal cavity and can beneficially impact key neural circuits in the brain without systemic absorption or direct activity on neurons in the brain. Vistagen is passionate about transforming mental health care and redefining what is possible in the treatment of anxiety, depression, and several other CNS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of the statements made in this press release are forward-looking, such as those, among others, relating to Vistagen’s expectations regarding the completion of the offering, including the anticipated use of proceeds therefrom. Actual results or developments may differ materially from those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projected or implied in these forward-looking statements. Factors that may cause such a difference include, without limitation, risks and uncertainties related to whether or not Vistagen will be able to raise capital through the sale of shares of common stock, pre-funded warrants, T1 Warrants, and T2 Warrants; the final terms of the offering, market, and other conditions; the satisfaction of customary closing conditions related to the offering; and the general economic, industry, or political conditions in the United States or internationally. There can be no assurance that Vistagen will be able to complete the offering on the anticipated terms, or at all. Vistagen will need to raise additional capital to fund its operations and may be unable to raise capital when needed, which would force Vistagen to delay, reduce, or eliminate its product development programs and/or commercialization efforts. You should not place undue reliance on these forward-looking statements, which apply only as of the date of this press release. Other risks and uncertainties include, but are not limited to, issues related to: adverse healthcare reforms and changes of laws and regulations; manufacturing and marketing risks; inadequate and/or untimely supply of one or more of Vistagen’s drug candidates to meet demand; entry of competitive products; and other technical and unexpected hurdles in the development, manufacture, and commercialization of its drug candidates, as well as those risks more fully discussed in the section entitled "Risk Factors" in Vistagen’s most recent Annual Report on Form 10-K for the year ended March 31, 2023, and in its most recent Quarterly Report on Form 10-Q for the quarter and three months ended June 30, 2023, as well as discussions of potential risks, uncertainties, and other important factors in its other filings with the SEC. Vistagen’s SEC filings are available on the SEC’s website at </w:t>
      </w:r>
      <w:r>
        <w:rPr>
          <w:rFonts w:ascii="Times New Roman" w:hAnsi="Times New Roman"/>
          <w:caps w:val="false"/>
          <w:smallCaps w:val="false"/>
          <w:sz w:val="20"/>
          <w:u w:val="single"/>
        </w:rPr>
        <w:t>www.sec.gov</w:t>
      </w:r>
      <w:r>
        <w:rPr>
          <w:rFonts w:ascii="Times New Roman" w:hAnsi="Times New Roman"/>
          <w:caps w:val="false"/>
          <w:smallCaps w:val="false"/>
          <w:sz w:val="20"/>
        </w:rPr>
        <w:t>. In addition, any forward-looking statements represent Vistagen’s views only as of the issuance of this release and should not be relied upon as representing its views as of any subsequent date. Vistagen explicitly disclaims any obligation to update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View source version on </w:t>
      </w:r>
      <w:r>
        <w:rPr>
          <w:rFonts w:ascii="Times New Roman" w:hAnsi="Times New Roman"/>
          <w:caps w:val="false"/>
          <w:smallCaps w:val="false"/>
          <w:sz w:val="20"/>
          <w:u w:val="single"/>
        </w:rPr>
        <w:t>businesswire.com</w:t>
      </w:r>
      <w:r>
        <w:rPr>
          <w:rFonts w:ascii="Times New Roman" w:hAnsi="Times New Roman"/>
          <w:caps w:val="false"/>
          <w:smallCaps w:val="false"/>
          <w:sz w:val="20"/>
        </w:rPr>
        <w:t xml:space="preserve">: </w:t>
      </w:r>
      <w:r>
        <w:rPr>
          <w:rFonts w:ascii="Times New Roman" w:hAnsi="Times New Roman"/>
          <w:caps w:val="false"/>
          <w:smallCaps w:val="false"/>
          <w:sz w:val="20"/>
          <w:u w:val="single"/>
        </w:rPr>
        <w:t>https://</w:t>
      </w:r>
      <w:r>
        <w:rPr>
          <w:rFonts w:ascii="Times New Roman" w:hAnsi="Times New Roman"/>
          <w:caps w:val="false"/>
          <w:smallCaps w:val="false"/>
          <w:sz w:val="20"/>
        </w:rPr>
        <w:t>www.businesswire.com/news/home/20231002934206/en/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McPartland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Investor Relations (650) 577-3606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markmcp@vistagen.com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Media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Nate Hitchings SKDK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nhitchings@skdknick.com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Vistagen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26.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image" Target="media/image29.jpeg"/><Relationship Id="rId40" Type="http://schemas.openxmlformats.org/officeDocument/2006/relationships/image" Target="media/image30.jpeg"/><Relationship Id="rId41" Type="http://schemas.openxmlformats.org/officeDocument/2006/relationships/image" Target="media/image31.jpeg"/><Relationship Id="rId42" Type="http://schemas.openxmlformats.org/officeDocument/2006/relationships/image" Target="media/image32.jpeg"/><Relationship Id="rId43" Type="http://schemas.openxmlformats.org/officeDocument/2006/relationships/image" Target="media/image33.jpeg"/><Relationship Id="rId44" Type="http://schemas.openxmlformats.org/officeDocument/2006/relationships/image" Target="media/image34.jpeg"/><Relationship Id="rId45" Type="http://schemas.openxmlformats.org/officeDocument/2006/relationships/image" Target="media/image35.jpeg"/><Relationship Id="rId46" Type="http://schemas.openxmlformats.org/officeDocument/2006/relationships/image" Target="media/image36.jpeg"/><Relationship Id="rId47" Type="http://schemas.openxmlformats.org/officeDocument/2006/relationships/image" Target="media/image37.jpeg"/><Relationship Id="rId48" Type="http://schemas.openxmlformats.org/officeDocument/2006/relationships/image" Target="media/image38.jpeg"/><Relationship Id="rId49" Type="http://schemas.openxmlformats.org/officeDocument/2006/relationships/image" Target="media/image39.jpeg"/><Relationship Id="rId50" Type="http://schemas.openxmlformats.org/officeDocument/2006/relationships/image" Target="media/image40.jpeg"/><Relationship Id="rId51" Type="http://schemas.openxmlformats.org/officeDocument/2006/relationships/image" Target="media/image41.jpeg"/><Relationship Id="rId52" Type="http://schemas.openxmlformats.org/officeDocument/2006/relationships/image" Target="media/image42.jpeg"/><Relationship Id="rId53" Type="http://schemas.openxmlformats.org/officeDocument/2006/relationships/image" Target="media/image43.jpeg"/><Relationship Id="rId54" Type="http://schemas.openxmlformats.org/officeDocument/2006/relationships/image" Target="media/image44.jpeg"/><Relationship Id="rId55" Type="http://schemas.openxmlformats.org/officeDocument/2006/relationships/image" Target="media/image45.jpeg"/><Relationship Id="rId56" Type="http://schemas.openxmlformats.org/officeDocument/2006/relationships/image" Target="media/image46.jpeg"/><Relationship Id="rId57" Type="http://schemas.openxmlformats.org/officeDocument/2006/relationships/image" Target="media/image47.jpeg"/><Relationship Id="rId58" Type="http://schemas.openxmlformats.org/officeDocument/2006/relationships/image" Target="media/image48.jpeg"/><Relationship Id="rId59" Type="http://schemas.openxmlformats.org/officeDocument/2006/relationships/image" Target="media/image49.jpeg"/><Relationship Id="rId60" Type="http://schemas.openxmlformats.org/officeDocument/2006/relationships/image" Target="media/image50.jpeg"/><Relationship Id="rId61" Type="http://schemas.openxmlformats.org/officeDocument/2006/relationships/image" Target="media/image51.jpeg"/><Relationship Id="rId62" Type="http://schemas.openxmlformats.org/officeDocument/2006/relationships/image" Target="media/image52.jpeg"/><Relationship Id="rId63" Type="http://schemas.openxmlformats.org/officeDocument/2006/relationships/image" Target="media/image53.jpeg"/><Relationship Id="rId64" Type="http://schemas.openxmlformats.org/officeDocument/2006/relationships/image" Target="media/image54.jpeg"/><Relationship Id="rId65" Type="http://schemas.openxmlformats.org/officeDocument/2006/relationships/image" Target="media/image55.jpeg"/><Relationship Id="rId66" Type="http://schemas.openxmlformats.org/officeDocument/2006/relationships/image" Target="media/image56.jpeg"/><Relationship Id="rId67" Type="http://schemas.openxmlformats.org/officeDocument/2006/relationships/image" Target="media/image57.jpeg"/><Relationship Id="rId68" Type="http://schemas.openxmlformats.org/officeDocument/2006/relationships/image" Target="media/image58.jpeg"/><Relationship Id="rId69" Type="http://schemas.openxmlformats.org/officeDocument/2006/relationships/image" Target="media/image59.jpeg"/><Relationship Id="rId70" Type="http://schemas.openxmlformats.org/officeDocument/2006/relationships/image" Target="media/image60.jpeg"/><Relationship Id="rId71" Type="http://schemas.openxmlformats.org/officeDocument/2006/relationships/image" Target="media/image61.jpeg"/><Relationship Id="rId72" Type="http://schemas.openxmlformats.org/officeDocument/2006/relationships/image" Target="media/image62.jpeg"/><Relationship Id="rId73" Type="http://schemas.openxmlformats.org/officeDocument/2006/relationships/image" Target="media/image63.jpeg"/><Relationship Id="rId74" Type="http://schemas.openxmlformats.org/officeDocument/2006/relationships/image" Target="media/image64.jpeg"/><Relationship Id="rId75" Type="http://schemas.openxmlformats.org/officeDocument/2006/relationships/image" Target="media/image65.jpeg"/><Relationship Id="rId76" Type="http://schemas.openxmlformats.org/officeDocument/2006/relationships/image" Target="media/image66.jpeg"/><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72747</Words>
  <Characters>377851</Characters>
  <CharactersWithSpaces>456988</CharactersWithSpaces>
  <Paragraphs>2822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