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137795</wp:posOffset>
            </wp:positionV>
            <wp:extent cx="717169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690" cy="18415"/>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180340</wp:posOffset>
            </wp:positionV>
            <wp:extent cx="71716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690" cy="6350"/>
                    </a:xfrm>
                    <a:prstGeom prst="rect">
                      <a:avLst/>
                    </a:prstGeom>
                    <a:noFill/>
                  </pic:spPr>
                </pic:pic>
              </a:graphicData>
            </a:graphic>
          </wp:anchor>
        </w:drawing>
        <w:t>UNITED STATES</w:t>
      </w:r>
    </w:p>
    <w:p>
      <w:pPr>
        <w:spacing w:after="0" w:line="16"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SECURITIES AND EXCHANGE COMMISSION</w:t>
      </w:r>
    </w:p>
    <w:p>
      <w:pPr>
        <w:spacing w:after="0" w:line="4"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Washington, D.C. 20549</w:t>
      </w:r>
    </w:p>
    <w:p>
      <w:pPr>
        <w:spacing w:after="0" w:line="142" w:lineRule="exact"/>
        <w:rPr>
          <w:sz w:val="24"/>
          <w:szCs w:val="24"/>
          <w:color w:val="auto"/>
        </w:rPr>
      </w:pPr>
    </w:p>
    <w:p>
      <w:pPr>
        <w:jc w:val="center"/>
        <w:ind w:right="-2"/>
        <w:spacing w:after="0"/>
        <w:rPr>
          <w:sz w:val="20"/>
          <w:szCs w:val="20"/>
          <w:color w:val="auto"/>
        </w:rPr>
      </w:pPr>
      <w:r>
        <w:rPr>
          <w:rFonts w:ascii="Arial" w:cs="Arial" w:eastAsia="Arial" w:hAnsi="Arial"/>
          <w:sz w:val="18"/>
          <w:szCs w:val="18"/>
          <w:b w:val="1"/>
          <w:bCs w:val="1"/>
          <w:color w:val="auto"/>
        </w:rPr>
        <w:t>FORM 8-K</w:t>
      </w:r>
    </w:p>
    <w:p>
      <w:pPr>
        <w:spacing w:after="0" w:line="161"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CURRENT REPORT</w:t>
      </w:r>
    </w:p>
    <w:p>
      <w:pPr>
        <w:spacing w:after="0" w:line="16" w:lineRule="exact"/>
        <w:rPr>
          <w:sz w:val="24"/>
          <w:szCs w:val="24"/>
          <w:color w:val="auto"/>
        </w:rPr>
      </w:pPr>
    </w:p>
    <w:p>
      <w:pPr>
        <w:jc w:val="center"/>
        <w:ind w:right="-2"/>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57"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 xml:space="preserve">Date of Report (Date of earliest event reported): </w:t>
      </w:r>
      <w:r>
        <w:rPr>
          <w:rFonts w:ascii="Arial" w:cs="Arial" w:eastAsia="Arial" w:hAnsi="Arial"/>
          <w:sz w:val="13"/>
          <w:szCs w:val="13"/>
          <w:b w:val="1"/>
          <w:bCs w:val="1"/>
          <w:u w:val="single" w:color="auto"/>
          <w:color w:val="auto"/>
        </w:rPr>
        <w:t>June 8, 2022</w:t>
      </w:r>
    </w:p>
    <w:p>
      <w:pPr>
        <w:spacing w:after="0" w:line="154" w:lineRule="exact"/>
        <w:rPr>
          <w:sz w:val="24"/>
          <w:szCs w:val="24"/>
          <w:color w:val="auto"/>
        </w:rPr>
      </w:pPr>
    </w:p>
    <w:p>
      <w:pPr>
        <w:jc w:val="center"/>
        <w:ind w:right="-2"/>
        <w:spacing w:after="0"/>
        <w:rPr>
          <w:sz w:val="20"/>
          <w:szCs w:val="20"/>
          <w:color w:val="auto"/>
        </w:rPr>
      </w:pPr>
      <w:r>
        <w:rPr>
          <w:rFonts w:ascii="Arial" w:cs="Arial" w:eastAsia="Arial" w:hAnsi="Arial"/>
          <w:sz w:val="18"/>
          <w:szCs w:val="18"/>
          <w:b w:val="1"/>
          <w:bCs w:val="1"/>
          <w:color w:val="auto"/>
        </w:rPr>
        <w:t>VistaGen Therapeutics, Inc.</w:t>
      </w:r>
    </w:p>
    <w:p>
      <w:pPr>
        <w:spacing w:after="0" w:line="22" w:lineRule="exact"/>
        <w:rPr>
          <w:sz w:val="24"/>
          <w:szCs w:val="24"/>
          <w:color w:val="auto"/>
        </w:rPr>
      </w:pPr>
    </w:p>
    <w:p>
      <w:pPr>
        <w:jc w:val="center"/>
        <w:ind w:right="-2"/>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303"/>
          </w:cols>
          <w:pgMar w:left="297" w:top="472" w:right="299" w:bottom="1440" w:gutter="0" w:footer="0" w:header="0"/>
        </w:sectPr>
      </w:pPr>
    </w:p>
    <w:p>
      <w:pPr>
        <w:spacing w:after="0" w:line="144" w:lineRule="exact"/>
        <w:rPr>
          <w:sz w:val="24"/>
          <w:szCs w:val="24"/>
          <w:color w:val="auto"/>
        </w:rPr>
      </w:pPr>
    </w:p>
    <w:p>
      <w:pPr>
        <w:ind w:left="2743"/>
        <w:spacing w:after="0"/>
        <w:rPr>
          <w:sz w:val="20"/>
          <w:szCs w:val="20"/>
          <w:color w:val="auto"/>
        </w:rPr>
      </w:pPr>
      <w:r>
        <w:rPr>
          <w:rFonts w:ascii="Arial" w:cs="Arial" w:eastAsia="Arial" w:hAnsi="Arial"/>
          <w:sz w:val="13"/>
          <w:szCs w:val="13"/>
          <w:b w:val="1"/>
          <w:bCs w:val="1"/>
          <w:color w:val="auto"/>
        </w:rPr>
        <w:t>Nevada</w:t>
      </w:r>
    </w:p>
    <w:p>
      <w:pPr>
        <w:spacing w:after="0" w:line="16" w:lineRule="exact"/>
        <w:rPr>
          <w:sz w:val="24"/>
          <w:szCs w:val="24"/>
          <w:color w:val="auto"/>
        </w:rPr>
      </w:pPr>
    </w:p>
    <w:p>
      <w:pPr>
        <w:ind w:left="2183"/>
        <w:spacing w:after="0"/>
        <w:rPr>
          <w:sz w:val="20"/>
          <w:szCs w:val="20"/>
          <w:color w:val="auto"/>
        </w:rPr>
      </w:pPr>
      <w:r>
        <w:rPr>
          <w:rFonts w:ascii="Arial" w:cs="Arial" w:eastAsia="Arial" w:hAnsi="Arial"/>
          <w:sz w:val="11"/>
          <w:szCs w:val="11"/>
          <w:i w:val="1"/>
          <w:iCs w:val="1"/>
          <w:color w:val="auto"/>
        </w:rPr>
        <w:t>(State or other jurisdiction of</w:t>
      </w:r>
    </w:p>
    <w:p>
      <w:pPr>
        <w:spacing w:after="0" w:line="27" w:lineRule="exact"/>
        <w:rPr>
          <w:sz w:val="24"/>
          <w:szCs w:val="24"/>
          <w:color w:val="auto"/>
        </w:rPr>
      </w:pPr>
    </w:p>
    <w:p>
      <w:pPr>
        <w:ind w:left="2563"/>
        <w:spacing w:after="0"/>
        <w:rPr>
          <w:sz w:val="20"/>
          <w:szCs w:val="20"/>
          <w:color w:val="auto"/>
        </w:rPr>
      </w:pPr>
      <w:r>
        <w:rPr>
          <w:rFonts w:ascii="Arial" w:cs="Arial" w:eastAsia="Arial" w:hAnsi="Arial"/>
          <w:sz w:val="13"/>
          <w:szCs w:val="13"/>
          <w:i w:val="1"/>
          <w:iCs w:val="1"/>
          <w:color w:val="auto"/>
        </w:rPr>
        <w:t>incorporation)</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700"/>
        <w:spacing w:after="0"/>
        <w:rPr>
          <w:sz w:val="20"/>
          <w:szCs w:val="20"/>
          <w:color w:val="auto"/>
        </w:rPr>
      </w:pPr>
      <w:r>
        <w:rPr>
          <w:rFonts w:ascii="Arial" w:cs="Arial" w:eastAsia="Arial" w:hAnsi="Arial"/>
          <w:sz w:val="13"/>
          <w:szCs w:val="13"/>
          <w:b w:val="1"/>
          <w:bCs w:val="1"/>
          <w:color w:val="auto"/>
        </w:rPr>
        <w:t>000-54014</w:t>
      </w:r>
    </w:p>
    <w:p>
      <w:pPr>
        <w:spacing w:after="0" w:line="16" w:lineRule="exact"/>
        <w:rPr>
          <w:sz w:val="24"/>
          <w:szCs w:val="24"/>
          <w:color w:val="auto"/>
        </w:rPr>
      </w:pPr>
    </w:p>
    <w:p>
      <w:pPr>
        <w:jc w:val="center"/>
        <w:ind w:right="700"/>
        <w:spacing w:after="0"/>
        <w:rPr>
          <w:sz w:val="20"/>
          <w:szCs w:val="20"/>
          <w:color w:val="auto"/>
        </w:rPr>
      </w:pPr>
      <w:r>
        <w:rPr>
          <w:rFonts w:ascii="Arial" w:cs="Arial" w:eastAsia="Arial" w:hAnsi="Arial"/>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left="280"/>
        <w:spacing w:after="0"/>
        <w:rPr>
          <w:sz w:val="20"/>
          <w:szCs w:val="20"/>
          <w:color w:val="auto"/>
        </w:rPr>
      </w:pPr>
      <w:r>
        <w:rPr>
          <w:rFonts w:ascii="Arial" w:cs="Arial" w:eastAsia="Arial" w:hAnsi="Arial"/>
          <w:sz w:val="13"/>
          <w:szCs w:val="13"/>
          <w:b w:val="1"/>
          <w:bCs w:val="1"/>
          <w:color w:val="auto"/>
        </w:rPr>
        <w:t>20-5093315</w:t>
      </w:r>
    </w:p>
    <w:p>
      <w:pPr>
        <w:spacing w:after="0" w:line="16" w:lineRule="exact"/>
        <w:rPr>
          <w:sz w:val="24"/>
          <w:szCs w:val="24"/>
          <w:color w:val="auto"/>
        </w:rPr>
      </w:pPr>
    </w:p>
    <w:p>
      <w:pPr>
        <w:ind w:left="200"/>
        <w:spacing w:after="0"/>
        <w:rPr>
          <w:sz w:val="20"/>
          <w:szCs w:val="20"/>
          <w:color w:val="auto"/>
        </w:rPr>
      </w:pPr>
      <w:r>
        <w:rPr>
          <w:rFonts w:ascii="Arial" w:cs="Arial" w:eastAsia="Arial" w:hAnsi="Arial"/>
          <w:sz w:val="13"/>
          <w:szCs w:val="13"/>
          <w:i w:val="1"/>
          <w:i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Number)</w:t>
      </w:r>
    </w:p>
    <w:p>
      <w:pPr>
        <w:spacing w:after="0" w:line="156" w:lineRule="exact"/>
        <w:rPr>
          <w:sz w:val="24"/>
          <w:szCs w:val="24"/>
          <w:color w:val="auto"/>
        </w:rPr>
      </w:pPr>
    </w:p>
    <w:p>
      <w:pPr>
        <w:sectPr>
          <w:pgSz w:w="11900" w:h="16838" w:orient="portrait"/>
          <w:cols w:equalWidth="0" w:num="3">
            <w:col w:w="4223" w:space="720"/>
            <w:col w:w="2100" w:space="720"/>
            <w:col w:w="3540"/>
          </w:cols>
          <w:pgMar w:left="297" w:top="472" w:right="299" w:bottom="1440" w:gutter="0" w:footer="0" w:header="0"/>
          <w:type w:val="continuous"/>
        </w:sectPr>
      </w:pPr>
    </w:p>
    <w:p>
      <w:pPr>
        <w:ind w:left="5183"/>
        <w:spacing w:after="0"/>
        <w:rPr>
          <w:sz w:val="20"/>
          <w:szCs w:val="20"/>
          <w:color w:val="auto"/>
        </w:rPr>
      </w:pPr>
      <w:r>
        <w:rPr>
          <w:rFonts w:ascii="Arial" w:cs="Arial" w:eastAsia="Arial" w:hAnsi="Arial"/>
          <w:sz w:val="13"/>
          <w:szCs w:val="13"/>
          <w:b w:val="1"/>
          <w:bCs w:val="1"/>
          <w:color w:val="auto"/>
        </w:rPr>
        <w:t>343 Allerton Ave.</w:t>
      </w:r>
    </w:p>
    <w:p>
      <w:pPr>
        <w:spacing w:after="0" w:line="16" w:lineRule="exact"/>
        <w:rPr>
          <w:sz w:val="24"/>
          <w:szCs w:val="24"/>
          <w:color w:val="auto"/>
        </w:rPr>
      </w:pPr>
    </w:p>
    <w:p>
      <w:pPr>
        <w:ind w:left="4603"/>
        <w:spacing w:after="0"/>
        <w:rPr>
          <w:sz w:val="20"/>
          <w:szCs w:val="20"/>
          <w:color w:val="auto"/>
        </w:rPr>
      </w:pPr>
      <w:r>
        <w:rPr>
          <w:rFonts w:ascii="Arial" w:cs="Arial" w:eastAsia="Arial" w:hAnsi="Arial"/>
          <w:sz w:val="13"/>
          <w:szCs w:val="13"/>
          <w:b w:val="1"/>
          <w:bCs w:val="1"/>
          <w:color w:val="auto"/>
        </w:rPr>
        <w:t>South San Francisco, California 94090</w:t>
      </w:r>
    </w:p>
    <w:p>
      <w:pPr>
        <w:spacing w:after="0" w:line="4" w:lineRule="exact"/>
        <w:rPr>
          <w:sz w:val="24"/>
          <w:szCs w:val="24"/>
          <w:color w:val="auto"/>
        </w:rPr>
      </w:pPr>
    </w:p>
    <w:p>
      <w:pPr>
        <w:ind w:left="4643"/>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145" w:lineRule="exact"/>
        <w:rPr>
          <w:sz w:val="24"/>
          <w:szCs w:val="24"/>
          <w:color w:val="auto"/>
        </w:rPr>
      </w:pPr>
    </w:p>
    <w:p>
      <w:pPr>
        <w:jc w:val="center"/>
        <w:ind w:right="17"/>
        <w:spacing w:after="0"/>
        <w:rPr>
          <w:sz w:val="20"/>
          <w:szCs w:val="20"/>
          <w:color w:val="auto"/>
        </w:rPr>
      </w:pPr>
      <w:r>
        <w:rPr>
          <w:rFonts w:ascii="Arial" w:cs="Arial" w:eastAsia="Arial" w:hAnsi="Arial"/>
          <w:sz w:val="13"/>
          <w:szCs w:val="13"/>
          <w:b w:val="1"/>
          <w:bCs w:val="1"/>
          <w:color w:val="auto"/>
        </w:rPr>
        <w:t>(650) 577-3600</w:t>
      </w:r>
    </w:p>
    <w:p>
      <w:pPr>
        <w:spacing w:after="0" w:line="16" w:lineRule="exact"/>
        <w:rPr>
          <w:sz w:val="24"/>
          <w:szCs w:val="24"/>
          <w:color w:val="auto"/>
        </w:rPr>
      </w:pPr>
    </w:p>
    <w:p>
      <w:pPr>
        <w:jc w:val="center"/>
        <w:ind w:right="17"/>
        <w:spacing w:after="0"/>
        <w:rPr>
          <w:sz w:val="20"/>
          <w:szCs w:val="20"/>
          <w:color w:val="auto"/>
        </w:rPr>
      </w:pPr>
      <w:r>
        <w:rPr>
          <w:rFonts w:ascii="Arial" w:cs="Arial" w:eastAsia="Arial" w:hAnsi="Arial"/>
          <w:sz w:val="13"/>
          <w:szCs w:val="13"/>
          <w:i w:val="1"/>
          <w:iCs w:val="1"/>
          <w:color w:val="auto"/>
        </w:rPr>
        <w:t>(Registrant</w:t>
      </w:r>
      <w:r>
        <w:rPr>
          <w:rFonts w:ascii="Arial" w:cs="Arial" w:eastAsia="Arial" w:hAnsi="Arial"/>
          <w:sz w:val="13"/>
          <w:szCs w:val="13"/>
          <w:color w:val="auto"/>
        </w:rPr>
        <w:t>’</w:t>
      </w:r>
      <w:r>
        <w:rPr>
          <w:rFonts w:ascii="Arial" w:cs="Arial" w:eastAsia="Arial" w:hAnsi="Arial"/>
          <w:sz w:val="13"/>
          <w:szCs w:val="13"/>
          <w:i w:val="1"/>
          <w:iCs w:val="1"/>
          <w:color w:val="auto"/>
        </w:rPr>
        <w:t>s telephone number, including area code)</w:t>
      </w:r>
    </w:p>
    <w:p>
      <w:pPr>
        <w:spacing w:after="0" w:line="145" w:lineRule="exact"/>
        <w:rPr>
          <w:sz w:val="24"/>
          <w:szCs w:val="24"/>
          <w:color w:val="auto"/>
        </w:rPr>
      </w:pPr>
    </w:p>
    <w:p>
      <w:pPr>
        <w:jc w:val="center"/>
        <w:ind w:right="17"/>
        <w:spacing w:after="0"/>
        <w:rPr>
          <w:sz w:val="20"/>
          <w:szCs w:val="20"/>
          <w:color w:val="auto"/>
        </w:rPr>
      </w:pPr>
      <w:r>
        <w:rPr>
          <w:rFonts w:ascii="Arial" w:cs="Arial" w:eastAsia="Arial" w:hAnsi="Arial"/>
          <w:sz w:val="13"/>
          <w:szCs w:val="13"/>
          <w:b w:val="1"/>
          <w:bCs w:val="1"/>
          <w:color w:val="auto"/>
        </w:rPr>
        <w:t>Not Applicable</w:t>
      </w:r>
    </w:p>
    <w:p>
      <w:pPr>
        <w:spacing w:after="0" w:line="16" w:lineRule="exact"/>
        <w:rPr>
          <w:sz w:val="24"/>
          <w:szCs w:val="24"/>
          <w:color w:val="auto"/>
        </w:rPr>
      </w:pPr>
    </w:p>
    <w:p>
      <w:pPr>
        <w:jc w:val="center"/>
        <w:ind w:right="17"/>
        <w:spacing w:after="0"/>
        <w:rPr>
          <w:sz w:val="20"/>
          <w:szCs w:val="20"/>
          <w:color w:val="auto"/>
        </w:rPr>
      </w:pPr>
      <w:r>
        <w:rPr>
          <w:rFonts w:ascii="Arial" w:cs="Arial" w:eastAsia="Arial" w:hAnsi="Arial"/>
          <w:sz w:val="11"/>
          <w:szCs w:val="11"/>
          <w:i w:val="1"/>
          <w:iCs w:val="1"/>
          <w:color w:val="auto"/>
        </w:rPr>
        <w:t>(Former name or former address, if changed since last report)</w:t>
      </w:r>
    </w:p>
    <w:p>
      <w:pPr>
        <w:sectPr>
          <w:pgSz w:w="11900" w:h="16838" w:orient="portrait"/>
          <w:cols w:equalWidth="0" w:num="1">
            <w:col w:w="11303"/>
          </w:cols>
          <w:pgMar w:left="297" w:top="472" w:right="299" w:bottom="1440" w:gutter="0" w:footer="0" w:header="0"/>
          <w:type w:val="continuous"/>
        </w:sectPr>
      </w:pPr>
    </w:p>
    <w:p>
      <w:pPr>
        <w:spacing w:after="0" w:line="172" w:lineRule="exact"/>
        <w:rPr>
          <w:sz w:val="24"/>
          <w:szCs w:val="24"/>
          <w:color w:val="auto"/>
        </w:rPr>
      </w:pPr>
    </w:p>
    <w:p>
      <w:pPr>
        <w:ind w:left="3"/>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ind w:left="143" w:hanging="143"/>
        <w:spacing w:after="0"/>
        <w:tabs>
          <w:tab w:leader="none" w:pos="1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4" w:lineRule="exact"/>
        <w:rPr>
          <w:rFonts w:ascii="MS PGothic" w:cs="MS PGothic" w:eastAsia="MS PGothic" w:hAnsi="MS PGothic"/>
          <w:sz w:val="13"/>
          <w:szCs w:val="13"/>
          <w:color w:val="auto"/>
        </w:rPr>
      </w:pPr>
    </w:p>
    <w:p>
      <w:pPr>
        <w:ind w:left="143" w:hanging="143"/>
        <w:spacing w:after="0"/>
        <w:tabs>
          <w:tab w:leader="none" w:pos="1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 -12)</w:t>
      </w:r>
    </w:p>
    <w:p>
      <w:pPr>
        <w:spacing w:after="0" w:line="4" w:lineRule="exact"/>
        <w:rPr>
          <w:rFonts w:ascii="MS PGothic" w:cs="MS PGothic" w:eastAsia="MS PGothic" w:hAnsi="MS PGothic"/>
          <w:sz w:val="13"/>
          <w:szCs w:val="13"/>
          <w:color w:val="auto"/>
        </w:rPr>
      </w:pPr>
    </w:p>
    <w:p>
      <w:pPr>
        <w:ind w:left="143" w:hanging="143"/>
        <w:spacing w:after="0"/>
        <w:tabs>
          <w:tab w:leader="none" w:pos="1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 -2(b))</w:t>
      </w:r>
    </w:p>
    <w:p>
      <w:pPr>
        <w:spacing w:after="0" w:line="4" w:lineRule="exact"/>
        <w:rPr>
          <w:rFonts w:ascii="MS PGothic" w:cs="MS PGothic" w:eastAsia="MS PGothic" w:hAnsi="MS PGothic"/>
          <w:sz w:val="13"/>
          <w:szCs w:val="13"/>
          <w:color w:val="auto"/>
        </w:rPr>
      </w:pPr>
    </w:p>
    <w:p>
      <w:pPr>
        <w:ind w:left="143" w:hanging="143"/>
        <w:spacing w:after="0"/>
        <w:tabs>
          <w:tab w:leader="none" w:pos="1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 -4(c))</w:t>
      </w:r>
    </w:p>
    <w:p>
      <w:pPr>
        <w:spacing w:after="0" w:line="148" w:lineRule="exact"/>
        <w:rPr>
          <w:sz w:val="24"/>
          <w:szCs w:val="24"/>
          <w:color w:val="auto"/>
        </w:rPr>
      </w:pPr>
    </w:p>
    <w:tbl>
      <w:tblPr>
        <w:tblLayout w:type="fixed"/>
        <w:tblInd w:w="3" w:type="dxa"/>
        <w:tblCellMar>
          <w:top w:w="0" w:type="dxa"/>
          <w:left w:w="0" w:type="dxa"/>
          <w:bottom w:w="0" w:type="dxa"/>
          <w:right w:w="0" w:type="dxa"/>
        </w:tblCellMar>
      </w:tblPr>
      <w:tr>
        <w:trPr>
          <w:trHeight w:val="162"/>
        </w:trPr>
        <w:tc>
          <w:tcPr>
            <w:tcW w:w="416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94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30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Title of each class</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152"/>
        </w:trPr>
        <w:tc>
          <w:tcPr>
            <w:tcW w:w="4160" w:type="dxa"/>
            <w:vAlign w:val="bottom"/>
          </w:tcPr>
          <w:p>
            <w:pPr>
              <w:jc w:val="center"/>
              <w:spacing w:after="0"/>
              <w:rPr>
                <w:sz w:val="20"/>
                <w:szCs w:val="20"/>
                <w:color w:val="auto"/>
              </w:rPr>
            </w:pPr>
            <w:r>
              <w:rPr>
                <w:rFonts w:ascii="Arial" w:cs="Arial" w:eastAsia="Arial" w:hAnsi="Arial"/>
                <w:sz w:val="13"/>
                <w:szCs w:val="13"/>
                <w:color w:val="auto"/>
                <w:w w:val="88"/>
              </w:rPr>
              <w:t>Common Stock, par value $0.001 per share</w:t>
            </w:r>
          </w:p>
        </w:tc>
        <w:tc>
          <w:tcPr>
            <w:tcW w:w="2940" w:type="dxa"/>
            <w:vAlign w:val="bottom"/>
          </w:tcPr>
          <w:p>
            <w:pPr>
              <w:jc w:val="center"/>
              <w:spacing w:after="0"/>
              <w:rPr>
                <w:sz w:val="20"/>
                <w:szCs w:val="20"/>
                <w:color w:val="auto"/>
              </w:rPr>
            </w:pPr>
            <w:r>
              <w:rPr>
                <w:rFonts w:ascii="Arial" w:cs="Arial" w:eastAsia="Arial" w:hAnsi="Arial"/>
                <w:sz w:val="13"/>
                <w:szCs w:val="13"/>
                <w:color w:val="auto"/>
                <w:w w:val="99"/>
              </w:rPr>
              <w:t>VTGN</w:t>
            </w:r>
          </w:p>
        </w:tc>
        <w:tc>
          <w:tcPr>
            <w:tcW w:w="4200" w:type="dxa"/>
            <w:vAlign w:val="bottom"/>
          </w:tcPr>
          <w:p>
            <w:pPr>
              <w:jc w:val="center"/>
              <w:spacing w:after="0"/>
              <w:rPr>
                <w:sz w:val="20"/>
                <w:szCs w:val="20"/>
                <w:color w:val="auto"/>
              </w:rPr>
            </w:pPr>
            <w:r>
              <w:rPr>
                <w:rFonts w:ascii="Arial" w:cs="Arial" w:eastAsia="Arial" w:hAnsi="Arial"/>
                <w:sz w:val="13"/>
                <w:szCs w:val="13"/>
                <w:color w:val="auto"/>
                <w:w w:val="89"/>
              </w:rPr>
              <w:t>Nasdaq Capital Market</w:t>
            </w:r>
          </w:p>
        </w:tc>
      </w:tr>
    </w:tbl>
    <w:p>
      <w:pPr>
        <w:spacing w:after="0" w:line="136" w:lineRule="exact"/>
        <w:rPr>
          <w:sz w:val="24"/>
          <w:szCs w:val="24"/>
          <w:color w:val="auto"/>
        </w:rPr>
      </w:pPr>
    </w:p>
    <w:p>
      <w:pPr>
        <w:jc w:val="both"/>
        <w:ind w:left="3" w:right="20"/>
        <w:spacing w:after="0" w:line="250"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703"/>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75" w:lineRule="exact"/>
        <w:rPr>
          <w:sz w:val="24"/>
          <w:szCs w:val="24"/>
          <w:color w:val="auto"/>
        </w:rPr>
      </w:pPr>
    </w:p>
    <w:p>
      <w:pPr>
        <w:jc w:val="both"/>
        <w:ind w:left="3" w:right="20"/>
        <w:spacing w:after="0" w:line="16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71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16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717169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1690" cy="18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wp:posOffset>
            </wp:positionV>
            <wp:extent cx="7171690"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472"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On June 8, 2022, VistaGen Therapeutics, Inc. (the “</w:t>
      </w:r>
      <w:r>
        <w:rPr>
          <w:rFonts w:ascii="Arial" w:cs="Arial" w:eastAsia="Arial" w:hAnsi="Arial"/>
          <w:sz w:val="13"/>
          <w:szCs w:val="13"/>
          <w:i w:val="1"/>
          <w:iCs w:val="1"/>
          <w:color w:val="auto"/>
        </w:rPr>
        <w:t>Company</w:t>
      </w:r>
      <w:r>
        <w:rPr>
          <w:rFonts w:ascii="Arial" w:cs="Arial" w:eastAsia="Arial" w:hAnsi="Arial"/>
          <w:sz w:val="13"/>
          <w:szCs w:val="13"/>
          <w:color w:val="auto"/>
        </w:rPr>
        <w:t>”) began utilizing a new corporate presentation, a copy of which is attached to this Current Report on Form 8-K as Exhibit 99.1.</w:t>
      </w:r>
    </w:p>
    <w:p>
      <w:pPr>
        <w:spacing w:after="0" w:line="158" w:lineRule="exact"/>
        <w:rPr>
          <w:sz w:val="20"/>
          <w:szCs w:val="20"/>
          <w:color w:val="auto"/>
        </w:rPr>
      </w:pPr>
    </w:p>
    <w:p>
      <w:pPr>
        <w:jc w:val="both"/>
        <w:ind w:right="20" w:firstLine="345"/>
        <w:spacing w:after="0" w:line="256" w:lineRule="auto"/>
        <w:rPr>
          <w:sz w:val="20"/>
          <w:szCs w:val="20"/>
          <w:color w:val="auto"/>
        </w:rPr>
      </w:pPr>
      <w:r>
        <w:rPr>
          <w:rFonts w:ascii="Arial" w:cs="Arial" w:eastAsia="Arial" w:hAnsi="Arial"/>
          <w:sz w:val="13"/>
          <w:szCs w:val="13"/>
          <w:color w:val="auto"/>
        </w:rPr>
        <w:t>The information in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r>
        <w:rPr>
          <w:rFonts w:ascii="Arial" w:cs="Arial" w:eastAsia="Arial" w:hAnsi="Arial"/>
          <w:sz w:val="13"/>
          <w:szCs w:val="13"/>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(d) Exhibits Index</w:t>
            </w:r>
          </w:p>
        </w:tc>
        <w:tc>
          <w:tcPr>
            <w:tcW w:w="220" w:type="dxa"/>
            <w:vAlign w:val="bottom"/>
          </w:tcPr>
          <w:p>
            <w:pPr>
              <w:spacing w:after="0"/>
              <w:rPr>
                <w:sz w:val="14"/>
                <w:szCs w:val="14"/>
                <w:color w:val="auto"/>
              </w:rPr>
            </w:pPr>
          </w:p>
        </w:tc>
        <w:tc>
          <w:tcPr>
            <w:tcW w:w="9840" w:type="dxa"/>
            <w:vAlign w:val="bottom"/>
          </w:tcPr>
          <w:p>
            <w:pPr>
              <w:spacing w:after="0"/>
              <w:rPr>
                <w:sz w:val="14"/>
                <w:szCs w:val="14"/>
                <w:color w:val="auto"/>
              </w:rPr>
            </w:pPr>
          </w:p>
        </w:tc>
      </w:tr>
      <w:tr>
        <w:trPr>
          <w:trHeight w:val="307"/>
        </w:trPr>
        <w:tc>
          <w:tcPr>
            <w:tcW w:w="124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Exhibit No.</w:t>
            </w:r>
          </w:p>
        </w:tc>
        <w:tc>
          <w:tcPr>
            <w:tcW w:w="220" w:type="dxa"/>
            <w:vAlign w:val="bottom"/>
          </w:tcPr>
          <w:p>
            <w:pPr>
              <w:spacing w:after="0"/>
              <w:rPr>
                <w:sz w:val="24"/>
                <w:szCs w:val="24"/>
                <w:color w:val="auto"/>
              </w:rPr>
            </w:pPr>
          </w:p>
        </w:tc>
        <w:tc>
          <w:tcPr>
            <w:tcW w:w="9840" w:type="dxa"/>
            <w:vAlign w:val="bottom"/>
            <w:tcBorders>
              <w:bottom w:val="single" w:sz="8" w:color="auto"/>
            </w:tcBorders>
          </w:tcPr>
          <w:p>
            <w:pPr>
              <w:ind w:left="4600"/>
              <w:spacing w:after="0"/>
              <w:rPr>
                <w:sz w:val="20"/>
                <w:szCs w:val="20"/>
                <w:color w:val="auto"/>
              </w:rPr>
            </w:pPr>
            <w:r>
              <w:rPr>
                <w:rFonts w:ascii="Arial" w:cs="Arial" w:eastAsia="Arial" w:hAnsi="Arial"/>
                <w:sz w:val="13"/>
                <w:szCs w:val="13"/>
                <w:b w:val="1"/>
                <w:bCs w:val="1"/>
                <w:color w:val="auto"/>
              </w:rPr>
              <w:t>Description</w:t>
            </w:r>
          </w:p>
        </w:tc>
      </w:tr>
      <w:tr>
        <w:trPr>
          <w:trHeight w:val="143"/>
        </w:trPr>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40" w:type="dxa"/>
            <w:vAlign w:val="bottom"/>
          </w:tcPr>
          <w:p>
            <w:pPr>
              <w:spacing w:after="0"/>
              <w:rPr>
                <w:sz w:val="12"/>
                <w:szCs w:val="12"/>
                <w:color w:val="auto"/>
              </w:rPr>
            </w:pPr>
          </w:p>
        </w:tc>
      </w:tr>
      <w:tr>
        <w:trPr>
          <w:trHeight w:val="134"/>
        </w:trPr>
        <w:tc>
          <w:tcPr>
            <w:tcW w:w="5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500"/>
              <w:spacing w:after="0" w:line="125" w:lineRule="exact"/>
              <w:rPr>
                <w:rFonts w:ascii="Arial" w:cs="Arial" w:eastAsia="Arial" w:hAnsi="Arial"/>
                <w:sz w:val="13"/>
                <w:szCs w:val="13"/>
                <w:color w:val="0000EE"/>
                <w:w w:val="78"/>
              </w:rPr>
            </w:pPr>
            <w:hyperlink w:anchor="page4">
              <w:r>
                <w:rPr>
                  <w:rFonts w:ascii="Arial" w:cs="Arial" w:eastAsia="Arial" w:hAnsi="Arial"/>
                  <w:sz w:val="13"/>
                  <w:szCs w:val="13"/>
                  <w:color w:val="0000EE"/>
                  <w:w w:val="78"/>
                </w:rPr>
                <w:t>99.</w:t>
              </w:r>
              <w:r>
                <w:rPr>
                  <w:rFonts w:ascii="Arial" w:cs="Arial" w:eastAsia="Arial" w:hAnsi="Arial"/>
                  <w:sz w:val="13"/>
                  <w:szCs w:val="13"/>
                  <w:u w:val="single" w:color="auto"/>
                  <w:color w:val="0000EE"/>
                  <w:w w:val="78"/>
                </w:rPr>
                <w:t>1</w:t>
              </w:r>
            </w:hyperlink>
          </w:p>
        </w:tc>
        <w:tc>
          <w:tcPr>
            <w:tcW w:w="220" w:type="dxa"/>
            <w:vAlign w:val="bottom"/>
            <w:shd w:val="clear" w:color="auto" w:fill="CCEEFF"/>
          </w:tcPr>
          <w:p>
            <w:pPr>
              <w:spacing w:after="0"/>
              <w:rPr>
                <w:sz w:val="11"/>
                <w:szCs w:val="11"/>
                <w:color w:val="auto"/>
              </w:rPr>
            </w:pPr>
          </w:p>
        </w:tc>
        <w:tc>
          <w:tcPr>
            <w:tcW w:w="984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VistaGen Therapeutics, Inc. Corporate Presentation, dated June 2022</w:t>
            </w:r>
          </w:p>
        </w:tc>
      </w:tr>
      <w:tr>
        <w:trPr>
          <w:trHeight w:val="162"/>
        </w:trPr>
        <w:tc>
          <w:tcPr>
            <w:tcW w:w="500" w:type="dxa"/>
            <w:vAlign w:val="bottom"/>
            <w:tcBorders>
              <w:top w:val="single" w:sz="8" w:color="CCEEFF"/>
            </w:tcBorders>
          </w:tcPr>
          <w:p>
            <w:pPr>
              <w:spacing w:after="0"/>
              <w:rPr>
                <w:sz w:val="14"/>
                <w:szCs w:val="14"/>
                <w:color w:val="auto"/>
              </w:rPr>
            </w:pPr>
          </w:p>
        </w:tc>
        <w:tc>
          <w:tcPr>
            <w:tcW w:w="220" w:type="dxa"/>
            <w:vAlign w:val="bottom"/>
            <w:tcBorders>
              <w:top w:val="single" w:sz="8" w:color="0000EE"/>
            </w:tcBorders>
          </w:tcPr>
          <w:p>
            <w:pPr>
              <w:jc w:val="right"/>
              <w:spacing w:after="0"/>
              <w:rPr>
                <w:sz w:val="20"/>
                <w:szCs w:val="20"/>
                <w:color w:val="auto"/>
              </w:rPr>
            </w:pPr>
            <w:r>
              <w:rPr>
                <w:rFonts w:ascii="Arial" w:cs="Arial" w:eastAsia="Arial" w:hAnsi="Arial"/>
                <w:sz w:val="13"/>
                <w:szCs w:val="13"/>
                <w:color w:val="auto"/>
                <w:w w:val="92"/>
              </w:rPr>
              <w:t>104</w:t>
            </w:r>
          </w:p>
        </w:tc>
        <w:tc>
          <w:tcPr>
            <w:tcW w:w="5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8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r>
      <w:tr>
        <w:trPr>
          <w:trHeight w:val="548"/>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53" w:right="299" w:bottom="1440" w:gutter="0" w:footer="0" w:header="0"/>
        </w:sectPr>
      </w:pPr>
    </w:p>
    <w:bookmarkStart w:id="2" w:name="page3"/>
    <w:bookmarkEnd w:id="2"/>
    <w:p>
      <w:pPr>
        <w:jc w:val="center"/>
        <w:ind w:left="440"/>
        <w:spacing w:after="0"/>
        <w:rPr>
          <w:sz w:val="20"/>
          <w:szCs w:val="20"/>
          <w:color w:val="auto"/>
        </w:rPr>
      </w:pPr>
      <w:r>
        <w:rPr>
          <w:rFonts w:ascii="Arial" w:cs="Arial" w:eastAsia="Arial" w:hAnsi="Arial"/>
          <w:sz w:val="13"/>
          <w:szCs w:val="13"/>
          <w:b w:val="1"/>
          <w:bCs w:val="1"/>
          <w:color w:val="auto"/>
        </w:rPr>
        <w:t>Signatures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8060" w:type="dxa"/>
            <w:vAlign w:val="bottom"/>
            <w:gridSpan w:val="2"/>
          </w:tcPr>
          <w:p>
            <w:pPr>
              <w:ind w:left="2260"/>
              <w:spacing w:after="0"/>
              <w:rPr>
                <w:sz w:val="20"/>
                <w:szCs w:val="20"/>
                <w:color w:val="auto"/>
              </w:rPr>
            </w:pPr>
            <w:r>
              <w:rPr>
                <w:rFonts w:ascii="Arial" w:cs="Arial" w:eastAsia="Arial" w:hAnsi="Arial"/>
                <w:sz w:val="13"/>
                <w:szCs w:val="13"/>
                <w:color w:val="auto"/>
              </w:rPr>
              <w:t>VistaGen Therapeutics, Inc.</w:t>
            </w:r>
          </w:p>
        </w:tc>
      </w:tr>
      <w:tr>
        <w:trPr>
          <w:trHeight w:val="307"/>
        </w:trPr>
        <w:tc>
          <w:tcPr>
            <w:tcW w:w="3220" w:type="dxa"/>
            <w:vAlign w:val="bottom"/>
          </w:tcPr>
          <w:p>
            <w:pPr>
              <w:spacing w:after="0"/>
              <w:rPr>
                <w:sz w:val="20"/>
                <w:szCs w:val="20"/>
                <w:color w:val="auto"/>
              </w:rPr>
            </w:pPr>
            <w:r>
              <w:rPr>
                <w:rFonts w:ascii="Arial" w:cs="Arial" w:eastAsia="Arial" w:hAnsi="Arial"/>
                <w:sz w:val="13"/>
                <w:szCs w:val="13"/>
                <w:color w:val="auto"/>
              </w:rPr>
              <w:t>Date: June 8, 2022</w:t>
            </w:r>
          </w:p>
        </w:tc>
        <w:tc>
          <w:tcPr>
            <w:tcW w:w="2800" w:type="dxa"/>
            <w:vAlign w:val="bottom"/>
          </w:tcPr>
          <w:p>
            <w:pPr>
              <w:ind w:left="2260"/>
              <w:spacing w:after="0"/>
              <w:rPr>
                <w:sz w:val="20"/>
                <w:szCs w:val="20"/>
                <w:color w:val="auto"/>
              </w:rPr>
            </w:pPr>
            <w:r>
              <w:rPr>
                <w:rFonts w:ascii="Arial" w:cs="Arial" w:eastAsia="Arial" w:hAnsi="Arial"/>
                <w:sz w:val="13"/>
                <w:szCs w:val="13"/>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Shawn K. Singh</w:t>
            </w:r>
          </w:p>
        </w:tc>
      </w:tr>
      <w:tr>
        <w:trPr>
          <w:trHeight w:val="135"/>
        </w:trPr>
        <w:tc>
          <w:tcPr>
            <w:tcW w:w="32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5260" w:type="dxa"/>
            <w:vAlign w:val="bottom"/>
          </w:tcPr>
          <w:p>
            <w:pPr>
              <w:spacing w:after="0" w:line="134" w:lineRule="exact"/>
              <w:rPr>
                <w:sz w:val="20"/>
                <w:szCs w:val="20"/>
                <w:color w:val="auto"/>
              </w:rPr>
            </w:pPr>
            <w:r>
              <w:rPr>
                <w:rFonts w:ascii="Arial" w:cs="Arial" w:eastAsia="Arial" w:hAnsi="Arial"/>
                <w:sz w:val="13"/>
                <w:szCs w:val="13"/>
                <w:color w:val="auto"/>
              </w:rPr>
              <w:t>Shawn K. Singh</w:t>
            </w:r>
          </w:p>
        </w:tc>
      </w:tr>
      <w:tr>
        <w:trPr>
          <w:trHeight w:val="162"/>
        </w:trPr>
        <w:tc>
          <w:tcPr>
            <w:tcW w:w="3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280"/>
          </w:cols>
          <w:pgMar w:left="320" w:top="453"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122555</wp:posOffset>
            </wp:positionV>
            <wp:extent cx="7208520" cy="429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8520" cy="429006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302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8520" cy="430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314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4314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15505" cy="4307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550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307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8520"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307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307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8520"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295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307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8520"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14870" cy="4399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39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14870" cy="4302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430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186690</wp:posOffset>
            </wp:positionV>
            <wp:extent cx="7208520" cy="4302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8520" cy="430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186690</wp:posOffset>
            </wp:positionV>
            <wp:extent cx="7196455" cy="4302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0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198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8520"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20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8520" cy="420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6455" cy="4198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198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84390" cy="419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43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19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20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8520" cy="420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0105" cy="4192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0105"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198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0105" cy="420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0105" cy="420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20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420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2170" cy="4210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6455" cy="4198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6455" cy="4198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208520" cy="420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8520" cy="420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6455" cy="4198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6455" cy="4198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96455" cy="4198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4198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71690" cy="4161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1690" cy="4161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283845</wp:posOffset>
            </wp:positionV>
            <wp:extent cx="7184390" cy="4307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4390"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295910</wp:posOffset>
            </wp:positionV>
            <wp:extent cx="7202170" cy="4307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295910</wp:posOffset>
            </wp:positionV>
            <wp:extent cx="7208520" cy="4314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8520" cy="4314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295910</wp:posOffset>
            </wp:positionV>
            <wp:extent cx="7202170" cy="4314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4314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295910</wp:posOffset>
            </wp:positionV>
            <wp:extent cx="7202170" cy="4314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4314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295910</wp:posOffset>
            </wp:positionV>
            <wp:extent cx="7202170" cy="4314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4314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295910</wp:posOffset>
            </wp:positionV>
            <wp:extent cx="7190105" cy="4039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190105" cy="40398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2022-06-09T05:12:59Z</dcterms:created>
  <dcterms:modified xsi:type="dcterms:W3CDTF">2022-06-09T05:12:59Z</dcterms:modified>
</cp:coreProperties>
</file>