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91"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March 31,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75"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001-37761</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Vistagen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28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40" w:type="dxa"/>
            <w:vAlign w:val="bottom"/>
            <w:gridSpan w:val="4"/>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38"/>
        </w:trPr>
        <w:tc>
          <w:tcPr>
            <w:tcW w:w="1200" w:type="dxa"/>
            <w:vAlign w:val="bottom"/>
          </w:tcPr>
          <w:p>
            <w:pPr>
              <w:spacing w:after="0"/>
              <w:rPr>
                <w:sz w:val="20"/>
                <w:szCs w:val="20"/>
                <w:color w:val="auto"/>
              </w:rPr>
            </w:pPr>
          </w:p>
        </w:tc>
        <w:tc>
          <w:tcPr>
            <w:tcW w:w="28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2"/>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200" w:type="dxa"/>
            <w:vAlign w:val="bottom"/>
          </w:tcPr>
          <w:p>
            <w:pPr>
              <w:spacing w:after="0"/>
              <w:rPr>
                <w:sz w:val="20"/>
                <w:szCs w:val="20"/>
                <w:color w:val="auto"/>
              </w:rPr>
            </w:pPr>
          </w:p>
        </w:tc>
        <w:tc>
          <w:tcPr>
            <w:tcW w:w="28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3"/>
          </w:tcPr>
          <w:p>
            <w:pPr>
              <w:jc w:val="center"/>
              <w:ind w:right="17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18"/>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343 Allerton Avenue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0"/>
        </w:trPr>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(650) 577-3600</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4"/>
        </w:trPr>
        <w:tc>
          <w:tcPr>
            <w:tcW w:w="1200" w:type="dxa"/>
            <w:vAlign w:val="bottom"/>
          </w:tcPr>
          <w:p>
            <w:pPr>
              <w:spacing w:after="0"/>
              <w:rPr>
                <w:sz w:val="20"/>
                <w:szCs w:val="20"/>
                <w:color w:val="auto"/>
              </w:rPr>
            </w:pPr>
          </w:p>
        </w:tc>
        <w:tc>
          <w:tcPr>
            <w:tcW w:w="9840" w:type="dxa"/>
            <w:vAlign w:val="bottom"/>
            <w:gridSpan w:val="10"/>
          </w:tcPr>
          <w:p>
            <w:pPr>
              <w:jc w:val="center"/>
              <w:ind w:right="910"/>
              <w:spacing w:after="0"/>
              <w:rPr>
                <w:sz w:val="20"/>
                <w:szCs w:val="20"/>
                <w:color w:val="auto"/>
              </w:rPr>
            </w:pPr>
            <w:r>
              <w:rPr>
                <w:rFonts w:ascii="Times New Roman" w:cs="Times New Roman" w:eastAsia="Times New Roman" w:hAnsi="Times New Roman"/>
                <w:sz w:val="18"/>
                <w:szCs w:val="18"/>
                <w:color w:val="auto"/>
                <w:w w:val="99"/>
              </w:rPr>
              <w:t>(Address, including zip code, and telephone number, including area code, of registrant’s principal executive office)</w:t>
            </w:r>
          </w:p>
        </w:tc>
      </w:tr>
      <w:tr>
        <w:trPr>
          <w:trHeight w:val="391"/>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0" w:type="dxa"/>
            <w:vAlign w:val="bottom"/>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5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r>
      <w:tr>
        <w:trPr>
          <w:trHeight w:val="425"/>
        </w:trPr>
        <w:tc>
          <w:tcPr>
            <w:tcW w:w="1200" w:type="dxa"/>
            <w:vAlign w:val="bottom"/>
          </w:tcPr>
          <w:p>
            <w:pPr>
              <w:spacing w:after="0"/>
              <w:rPr>
                <w:sz w:val="24"/>
                <w:szCs w:val="24"/>
                <w:color w:val="auto"/>
              </w:rPr>
            </w:pPr>
          </w:p>
        </w:tc>
        <w:tc>
          <w:tcPr>
            <w:tcW w:w="2260" w:type="dxa"/>
            <w:vAlign w:val="bottom"/>
            <w:gridSpan w:val="2"/>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40" w:type="dxa"/>
            <w:vAlign w:val="bottom"/>
            <w:gridSpan w:val="2"/>
            <w:shd w:val="clear" w:color="auto" w:fill="000000"/>
          </w:tcPr>
          <w:p>
            <w:pPr>
              <w:spacing w:after="0" w:line="20" w:lineRule="exact"/>
              <w:rPr>
                <w:sz w:val="1"/>
                <w:szCs w:val="1"/>
                <w:color w:val="auto"/>
              </w:rPr>
            </w:pPr>
          </w:p>
        </w:tc>
      </w:tr>
      <w:tr>
        <w:trPr>
          <w:trHeight w:val="277"/>
        </w:trPr>
        <w:tc>
          <w:tcPr>
            <w:tcW w:w="40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900" w:type="dxa"/>
            <w:vAlign w:val="bottom"/>
          </w:tcPr>
          <w:p>
            <w:pPr>
              <w:spacing w:after="0"/>
              <w:rPr>
                <w:sz w:val="24"/>
                <w:szCs w:val="24"/>
                <w:color w:val="auto"/>
              </w:rPr>
            </w:pPr>
          </w:p>
        </w:tc>
        <w:tc>
          <w:tcPr>
            <w:tcW w:w="25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VTGN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432"/>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80" w:type="dxa"/>
            <w:vAlign w:val="bottom"/>
            <w:gridSpan w:val="7"/>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w:t>
            </w:r>
          </w:p>
        </w:tc>
        <w:tc>
          <w:tcPr>
            <w:tcW w:w="2500" w:type="dxa"/>
            <w:vAlign w:val="bottom"/>
          </w:tcPr>
          <w:p>
            <w:pPr>
              <w:spacing w:after="0"/>
              <w:rPr>
                <w:sz w:val="24"/>
                <w:szCs w:val="24"/>
                <w:color w:val="auto"/>
              </w:rPr>
            </w:pPr>
          </w:p>
        </w:tc>
      </w:tr>
      <w:tr>
        <w:trPr>
          <w:trHeight w:val="453"/>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32"/>
        </w:trPr>
        <w:tc>
          <w:tcPr>
            <w:tcW w:w="8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tc>
      </w:tr>
      <w:tr>
        <w:trPr>
          <w:trHeight w:val="432"/>
        </w:trPr>
        <w:tc>
          <w:tcPr>
            <w:tcW w:w="8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  Yes</w:t>
            </w:r>
          </w:p>
        </w:tc>
        <w:tc>
          <w:tcPr>
            <w:tcW w:w="2500" w:type="dxa"/>
            <w:vAlign w:val="bottom"/>
          </w:tcPr>
          <w:p>
            <w:pPr>
              <w:ind w:left="10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No</w:t>
            </w:r>
            <w:r>
              <w:rPr>
                <w:rFonts w:ascii="Wingdings" w:cs="Wingdings" w:eastAsia="Wingdings" w:hAnsi="Wingdings"/>
                <w:sz w:val="18"/>
                <w:szCs w:val="18"/>
                <w:b w:val="1"/>
                <w:bCs w:val="1"/>
                <w:color w:val="auto"/>
              </w:rPr>
              <w:t xml:space="preserve">  x</w:t>
            </w: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13" w:orient="portrait"/>
          <w:cols w:equalWidth="0" w:num="1">
            <w:col w:w="11240"/>
          </w:cols>
          <w:pgMar w:left="320" w:top="337" w:right="339" w:bottom="0" w:gutter="0" w:footer="0" w:header="0"/>
        </w:sectPr>
      </w:pPr>
    </w:p>
    <w:p>
      <w:pPr>
        <w:spacing w:after="0" w:line="2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913" w:orient="portrait"/>
          <w:cols w:equalWidth="0" w:num="4">
            <w:col w:w="1640" w:space="140"/>
            <w:col w:w="4220" w:space="720"/>
            <w:col w:w="1200" w:space="140"/>
            <w:col w:w="3180"/>
          </w:cols>
          <w:pgMar w:left="320" w:top="337" w:right="33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0" w:lineRule="exact"/>
        <w:rPr>
          <w:sz w:val="24"/>
          <w:szCs w:val="24"/>
          <w:color w:val="auto"/>
        </w:rPr>
      </w:pPr>
    </w:p>
    <w:p>
      <w:pPr>
        <w:sectPr>
          <w:pgSz w:w="11900" w:h="16913" w:orient="portrait"/>
          <w:cols w:equalWidth="0" w:num="4">
            <w:col w:w="1540" w:space="140"/>
            <w:col w:w="4320" w:space="720"/>
            <w:col w:w="1980" w:space="120"/>
            <w:col w:w="2420"/>
          </w:cols>
          <w:pgMar w:left="320" w:top="337" w:right="339" w:bottom="0" w:gutter="0" w:footer="0" w:header="0"/>
          <w:type w:val="continuous"/>
        </w:sectPr>
      </w:pPr>
    </w:p>
    <w:p>
      <w:pPr>
        <w:ind w:left="67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913" w:orient="portrait"/>
          <w:cols w:equalWidth="0" w:num="2">
            <w:col w:w="8720" w:space="140"/>
            <w:col w:w="2380"/>
          </w:cols>
          <w:pgMar w:left="320" w:top="337" w:right="339" w:bottom="0" w:gutter="0" w:footer="0" w:header="0"/>
          <w:type w:val="continuous"/>
        </w:sectPr>
      </w:pPr>
    </w:p>
    <w:p>
      <w:pPr>
        <w:spacing w:after="0" w:line="9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913" w:orient="portrait"/>
          <w:cols w:equalWidth="0" w:num="1">
            <w:col w:w="11240"/>
          </w:cols>
          <w:pgMar w:left="320" w:top="337" w:right="339" w:bottom="0" w:gutter="0" w:footer="0" w:header="0"/>
          <w:type w:val="continuous"/>
        </w:sectPr>
      </w:pPr>
    </w:p>
    <w:bookmarkStart w:id="1" w:name="page2"/>
    <w:bookmarkEnd w:id="1"/>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62" w:lineRule="exact"/>
        <w:rPr>
          <w:sz w:val="20"/>
          <w:szCs w:val="20"/>
          <w:color w:val="auto"/>
        </w:rPr>
      </w:pPr>
    </w:p>
    <w:p>
      <w:pPr>
        <w:spacing w:after="0"/>
        <w:tabs>
          <w:tab w:leader="none" w:pos="7580" w:val="left"/>
          <w:tab w:leader="none" w:pos="8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Yes</w:t>
      </w:r>
      <w:r>
        <w:rPr>
          <w:sz w:val="20"/>
          <w:szCs w:val="20"/>
          <w:color w:val="auto"/>
        </w:rPr>
        <w:tab/>
      </w:r>
      <w:r>
        <w:rPr>
          <w:rFonts w:ascii="Wingdings" w:cs="Wingdings" w:eastAsia="Wingdings" w:hAnsi="Wingdings"/>
          <w:sz w:val="15"/>
          <w:szCs w:val="15"/>
          <w:b w:val="1"/>
          <w:bCs w:val="1"/>
          <w:color w:val="auto"/>
        </w:rPr>
        <w:t xml:space="preserve">o </w:t>
      </w:r>
      <w:r>
        <w:rPr>
          <w:rFonts w:ascii="Times New Roman" w:cs="Times New Roman" w:eastAsia="Times New Roman" w:hAnsi="Times New Roman"/>
          <w:sz w:val="15"/>
          <w:szCs w:val="15"/>
          <w:color w:val="auto"/>
        </w:rPr>
        <w:t>No</w:t>
      </w:r>
      <w:r>
        <w:rPr>
          <w:rFonts w:ascii="Wingdings" w:cs="Wingdings" w:eastAsia="Wingdings" w:hAnsi="Wingdings"/>
          <w:sz w:val="15"/>
          <w:szCs w:val="15"/>
          <w:b w:val="1"/>
          <w:bCs w:val="1"/>
          <w:color w:val="auto"/>
        </w:rPr>
        <w:t xml:space="preserve">  x</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of the registrant on September 30, 2025, the last business day of the registrant’s second fiscal quarter, was approximately $137.7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12, 2026, there were 41,032,453 shares of the registrant’s common stock, $0.001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047"/>
        </w:trPr>
        <w:tc>
          <w:tcPr>
            <w:tcW w:w="1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784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4"/>
                <w:szCs w:val="24"/>
                <w:color w:val="auto"/>
              </w:rPr>
            </w:pPr>
          </w:p>
        </w:tc>
      </w:tr>
      <w:tr>
        <w:trPr>
          <w:trHeight w:val="493"/>
        </w:trPr>
        <w:tc>
          <w:tcPr>
            <w:tcW w:w="1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78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43"/>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240" w:type="dxa"/>
            <w:vAlign w:val="bottom"/>
            <w:gridSpan w:val="2"/>
            <w:shd w:val="clear" w:color="auto" w:fill="CCEEFF"/>
          </w:tcPr>
          <w:p>
            <w:pPr>
              <w:spacing w:after="0"/>
              <w:rPr>
                <w:sz w:val="21"/>
                <w:szCs w:val="21"/>
                <w:color w:val="auto"/>
              </w:rPr>
            </w:pPr>
          </w:p>
        </w:tc>
        <w:tc>
          <w:tcPr>
            <w:tcW w:w="78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1.</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1A.</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1B.</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63"/>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1C.</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Cyber Security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2</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3</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4</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63"/>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8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11"/>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w:t>
            </w:r>
          </w:p>
        </w:tc>
        <w:tc>
          <w:tcPr>
            <w:tcW w:w="1020" w:type="dxa"/>
            <w:vAlign w:val="bottom"/>
          </w:tcPr>
          <w:p>
            <w:pPr>
              <w:spacing w:after="0"/>
              <w:rPr>
                <w:sz w:val="18"/>
                <w:szCs w:val="18"/>
                <w:color w:val="auto"/>
              </w:rPr>
            </w:pPr>
          </w:p>
        </w:tc>
      </w:tr>
      <w:tr>
        <w:trPr>
          <w:trHeight w:val="241"/>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5</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6</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7</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63"/>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7A.</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8</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9</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0"/>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9A.</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63"/>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9B.</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466"/>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9C.</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63"/>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78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10</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11</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Compensation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12</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13</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14</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63"/>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8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15</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16</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10-K Summary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50"/>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78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63"/>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78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Certain statements in this Annual Report on Form 10-K (Annual Report or Report) may constitute “forward-looking statements” for purposes of the federal securities laws, including the safe harbor provisions of Section 27A of the Securities Act of 1933, as amended (the Securities Act), and Section 21E of the Securities Exchange Act of 1934, as amended (the Exchange Act), that involve substantial risks and uncertainties.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also forward-looking statements. The words “anticipate,” “believe,” “can,” “contemplate,” "continue,” “could,” “estimate,” “expect,” “future,” “intends,” “may,” “might,” “plan,” “possible,” “potential,” “predict,” “project,” “should,” “strategy,” “target,” “will,” “would,” or the negative of these terms or similar expressions may identify forward-looking statements, but the absence of these words does not mean that a statement is not forward-looking. Forward-looking statements in this Report may include, for example, statements about:</w:t>
      </w:r>
    </w:p>
    <w:p>
      <w:pPr>
        <w:spacing w:after="0" w:line="23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period over which we anticipate our available financial resources will enable us to fund our operating expense;</w:t>
      </w:r>
    </w:p>
    <w:p>
      <w:pPr>
        <w:spacing w:after="0" w:line="265" w:lineRule="exact"/>
        <w:rPr>
          <w:rFonts w:ascii="Times New Roman" w:cs="Times New Roman" w:eastAsia="Times New Roman" w:hAnsi="Times New Roman"/>
          <w:sz w:val="22"/>
          <w:szCs w:val="22"/>
          <w:color w:val="auto"/>
        </w:rPr>
      </w:pPr>
    </w:p>
    <w:p>
      <w:pPr>
        <w:ind w:left="660" w:right="740" w:hanging="328"/>
        <w:spacing w:after="0" w:line="234" w:lineRule="auto"/>
        <w:tabs>
          <w:tab w:leader="none" w:pos="6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obtain additional funding for our operations, including funding necessary to complete further development, approval and, if approved, commercialization of our product candidates;</w:t>
      </w:r>
    </w:p>
    <w:p>
      <w:pPr>
        <w:spacing w:after="0" w:line="213" w:lineRule="exact"/>
        <w:rPr>
          <w:rFonts w:ascii="Arial" w:cs="Arial" w:eastAsia="Arial" w:hAnsi="Arial"/>
          <w:sz w:val="22"/>
          <w:szCs w:val="22"/>
          <w:color w:val="auto"/>
        </w:rPr>
      </w:pPr>
    </w:p>
    <w:p>
      <w:pPr>
        <w:ind w:left="660" w:right="7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 objectives, strategy, likelihood of success, and cost of our preclinical studies and clinical trials and other product development activities, including the design of our preclinical studies and clinical trials;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initiation of our preclinical studies and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enroll and randomize suitable patients in our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completion of our preclinical studies and clinical trials and related preparatory work;</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and interpret preclinical and clinical data;</w:t>
      </w:r>
    </w:p>
    <w:p>
      <w:pPr>
        <w:spacing w:after="0" w:line="23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interactions, including whether preclinical studies and clinical trials meet the criteria to enable early-stage or late-stage clinical development or support registration of our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benefits of our product candidates;</w:t>
      </w:r>
    </w:p>
    <w:p>
      <w:pPr>
        <w:spacing w:after="0" w:line="23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obtained, maintain regulatory approval for our product candidates, and any related restrictions, limitations or warnings on the label of an approved product candidate;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business development efforts to optimize the potential value of our neuroscience pipeline;</w:t>
      </w:r>
    </w:p>
    <w:p>
      <w:pPr>
        <w:spacing w:after="0" w:line="23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of treatments for the indications that we pursue or are pursuing for our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and the duration of such protection;</w:t>
      </w:r>
    </w:p>
    <w:p>
      <w:pPr>
        <w:spacing w:after="0" w:line="238"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and rely on the performance of third-parties to assist in conducting our preclinical studies and clinical trials and manufacturing our product candidates;</w:t>
      </w:r>
    </w:p>
    <w:p>
      <w:pPr>
        <w:spacing w:after="0" w:line="17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 either on our own or in partnership with others;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including regulatory personnel, and developments in the U.S. and foreign countries;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laws, regulations, accounting standards, regulatory requirements, judicial decisions and guidance issued by authoritative bodies;</w:t>
      </w:r>
    </w:p>
    <w:p>
      <w:pPr>
        <w:spacing w:after="0" w:line="22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medical, commercial and management personnel and the impact of any reductions in force (RIFs);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and needs for additional financing;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our License and Collaboration Agreement with AffaMed Therapeutics, Inc. (including our ability to receive future payments thereunder) and any other future financing or business development transactions;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market or macroeconomic conditions, including, among others, tariffs, inflation, interest rates and economic uncertainty, market volatility resulting from global political or economic developments, reduced staffing at the Company, the FDA or other government regulatory agencies, war, international hostilities and terrorism, any future public health epidemics or outbreaks of infectious disease and other factors on any of the foregoing or other aspects of our business operations, including but not limited to our preclinical studies, clinical trials and other product development activities, healthcare systems and the global economy as a whole; and</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of this Annual Report titled “Risk Factors.”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or important factors that may cause actual results or performance to be materially different from those expressed or implied by these forward-looking statements. These risks and uncertainties include, but are not limited to, those factors described in the sections titled “Risk Factors” and “Management’s Discussion and Analysis of Financial Condition and Results of Operations” set forth in this Annual Report.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potential risks. We do not undertake any obligation to update or revise any forward-looking statements, whether as a result of new information, future events or otherwise, except as may be required under applicable securities laws.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Annual Report completely and with the understanding that our actual future results may be materially different from what we expect.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w:t>
      </w:r>
    </w:p>
    <w:p>
      <w:pPr>
        <w:spacing w:after="0" w:line="2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This Annual Report contains summaries of certain provisions contained in some of the documents described herein, but reference is made to the actual documents for complete information. All summaries are qualified in their entirety by the actual documents. Copies of some of the documents referred to herein have been filed as exhibits to this Annual Report. Unless the context otherwise requires, reference in this Annual Report to the terms “Vistagen,” “the Company,” “we,” “us,” “our,” and similar designations refer to Vistagen Therapeutics, Inc., a Nevada corporation, and where appropriate, our consolidated subsidiaries.</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Annual Report may contain references to trademarks, trade names and service marks belonging to other entities. Solely for convenience, trademarks, trade names and service marks referred to in this Annual Report may appear without the ® or TM symbols, but such references are not intended to indicate, in any way, that the applicable licensor will not assert, to the fullest extent under applicable law, its rights to these trademarks, trade names or service marks. We do not intend our use or display of other companies’ trade names, trademarks or service marks to imply a relationship with, or endorsement or sponsorship of us by, any other companies.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this Annual Report and from time to time we may provide estimates, projections and other information concerning our industry, the general business environment, and the markets for certain diseases or disorders, including estimates regarding the potential size of those markets and the estimated incidence and prevalence of certain medical conditions. Information that is based on estimates, forecasts, market research, projections, or similar methodologies is inherently subject to uncertainties, and actual circumstances, events or numbers, including actual disease prevalence rates and market size, may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differ materially from the information reflected in this Annual Report. Unless otherwise expressly stated, we obtained the industry, market and competitive position data from our internal estimates and research, or from independent market research, industry and general publications and surveys, governmental agencies and publicly available information in addition to research, surveys and studies conducted by third parties that have not been independently verified which may, in the future, prove not to have been accurate.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 trade names, trademarks and service marks appearing in this Annual Report are the property of their respective holders. Unless the context requires otherwise, references in this report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Vistagen Therapeutics, Inc., a Nevada corporation. All references to future quarters and years in this Annual Report refer to calendar quarters and calendar years, unless reference is made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a late clinical-stage therapeutics company focused on developing and potentially commercializing new medicines for patients with social anxiety disorder, depression, menopausal hot flashes, psychomotor impairment due to mental fatigue, and cancer cachexia. Each of the five clinical-stage intranasal pherine product candidates in our neuroscience pipeline has a novel neurocircuitry-focused proposed mechanism of action (MOA) and at least one positive clinical study in its targeted patient population. Leveraging our deep understanding of nose-to-brain neurocircuitry, we have designed our intranasal pherine product candidates are designed to rapidly, specifically and selectively bind to peripheral receptors in human nasal chemosensory neurons and rapidly activate neurocircuits believed to regulate brain areas, without requiring systemic absorption or uptake into the brain to achieve desired therapeutic benefits.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most advanced intranasal pherine product candidate, fasedienol, is being investigated in a U.S. Phase 3 development program for the acute treatment of social anxiety disorder. Itruvone is being developed for treatment of major depressive disorder, refisolone for the treatment of moderate to severe vasomotor symptoms (hot flashes) due to menopause, PH15 for improvement of psychomotor impairment due to mental fatigue and PH284 for the treatment of cancer cachexia.</w:t>
      </w:r>
    </w:p>
    <w:p>
      <w:pPr>
        <w:spacing w:after="0" w:line="20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are passionate about developing transformative treatment options with potential to meet clear and growing unmet patient needs and delivering long-term value to our stockholders.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Intranasal Pherine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349240" cy="2922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hanging="734"/>
        <w:spacing w:after="0"/>
        <w:tabs>
          <w:tab w:leader="none" w:pos="7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U.S. IND enabling activities are necessary to facilitate further Phase 2 development in the 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56" w:lineRule="exact"/>
        <w:rPr>
          <w:rFonts w:ascii="Times New Roman" w:cs="Times New Roman" w:eastAsia="Times New Roman" w:hAnsi="Times New Roman"/>
          <w:sz w:val="23"/>
          <w:szCs w:val="23"/>
          <w:color w:val="auto"/>
          <w:vertAlign w:val="superscript"/>
        </w:rPr>
      </w:pPr>
    </w:p>
    <w:p>
      <w:pPr>
        <w:ind w:left="55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Fasedienol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Social Anxiety Disorder</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Social anxiety disorder (SAD) is a highly prevalent, serious, and sometimes life-threatening psychiatric mental health disorder affecting over 30 million adults in the U.S. With onset typically early in life, usually during adolescence, SAD persists for many years thereafter, with a reported mean duration of about 20 years. Individuals with SAD experience extreme anxiety, distress, fear, and impairment due to their fear of being watched, embarrassed, judged, humiliated, negatively evaluated, and scrutinized. The profound acute anxiety associated with SAD often results in avoidance of everyday interactions and opportunities in academic, social and vocational settings, which can lead to impaired personal relationships, unsatisfactory work performance, and substance abuse, significantly impacting various aspects of daily life. Individuals with SAD face an increased risk of serious and life-threatening co-morbid depression, substance abuse, suicidal ideation and suicide.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 for the Acute Treatment of Social Anxiety Disorder</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Fasedienol our most advanced neurocircuitry-focused pherine product candidate is in U.S. Phase 3 clinical development for the acute treatment of anxiety in adults with SAD. Fasedienol's proposed MOA is fundamentally differentiated from all FDA-approved anti-anxiety medications. When administered intranasally in microgram-level doses, neurocircuitry-focused fasedienol is proposed to modulate the nasal-limbic amygdala fear and anxiety neurocircuits involved in the pathophysiology of SAD. Fasedienol is pharmacologically active without requiring apparent systemic absorption or uptake into the brain to achieve its rapid-onset anxiolytic effects. Fasedienol also has no observed binding on certain cellular receptors isolated from the brain that are associated with known drug abuse liability potential (for example, dopamine and opiate receptors) which are activated by certain other pharmaceutical compounds used for neuropsychiatric and neurological disorders. Unlike benzodiazepines, data showed that fasedienol has no observed potentiation of GABA-A receptors. Because of its innovative non-systemic neurocircuitry-focused proposed MOA, Vistagen believes fasedienol has the potential to achieve rapid-onset anxiolytic effects for individuals with social anxiety disorder on an acute, as-needed basis, with a significantly reduced risk of unwanted side effects and safety concerns, such as potential drug-drug interactions, abuse, misuse, and addiction, associated with certain current oral and other systemically absorbed neuropsychiatric pharmaceuticals that act directly on neurons in the brain and are sometimes prescribed off-label for the acute treatment of SAD.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Fasedienol's U.S. Registration-directed PALISADE Program</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Fasedienol is in Phase 3 development for the acute treatment of SAD and has received fast track designation from the FDA for development for that indication. It is designed to reduce the wave of anxiety usually experienced by SAD patients before engaging in (and during) a feared and anxiety-provoking social or performance situation. While there are approved treatments for SAD, none is approved for the acute treatment of SAD on an as-needed basis in connection with an anxiety-provoking social or performance-based event. We have designed fasedienol nasal spray with the goal of creating a product candidate with a rapid-onset, non-systemic proposed MOA and pharmacological effect, a key and substantial difference between fasedienol and all other available therapies approved by the FDA for the treatment of SAD.</w:t>
      </w: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PALISADE Program includes the PALISADE-1, PALISADE-2, PALISADE-3, and PALISADE-4 Phase 3 clinical trials and a small exploratory Phase 2 repeat dose study (the Repeat Dose Study). These PALISADE Phase 3 clinical trials in the PALISADE Program are randomized, double-blind, placebo-controlled, U.S. multi-center clinical trials designed to evaluate the efficacy, safety, and tolerability of a single dose of fasedienol to relieve anxiety symptoms in adult patients with SAD during a five-minute, simulated, anxiety-provoking public speaking challenge conducted in a clinical setting, as measured by the least squares (LS) mean change from baseline on the patient-rated Subjective Units of Distress Scale (SUDS) score for fasedienol compared with placebo as the primary efficacy endpoint. Neither PALISADE-1, completed in 2022, nor PALISADE-3, the randomized portion of which was completed in December 2025, achieved its primary endpoint in the randomized phase of each study, as measured by the LS mean change from baseline on the SUDS score for fasedienol compared with placebo. After receipt of negative top-line results from PALISADE-1 during the COVID-19 pandemic, we terminated PALISADE-2 prior to completion (after enrolling 141 patients out of a planned 208) and analyzed the data from the 141 enrolled subjects. In August 2023, we announced that PALISADE-2 achieved its primary efficacy endpoint as measured by the LS mean change from baseline on the SUDS score for fasedienol compared with placebo. Safety data for fasedienol have been consistently favorable across all placebo-controlled clinical trials and open label clinical studies completed to date.</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the positive data from PALISADE-2, we initiated PALISADE-3 and PALISADE-4, as well as the Repeat Dose Study, using the same randomized public speaking challenge trial designs and primary efficacy endpoint utilized in PALISADE-2, and we added a real-world open-label extension (OLE) to each of the trials. As noted above, PALISADE-3,</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randomized portion of which was completed in December 2025, did not achieve its primary endpoint. Topline results from the randomized portion of PALISADE-4 are expected in the second quarter of calendar 2026. We refined the statistical analysis plan (SAP) for PALISADE-4 to incorporate each participant's distress level immediately prior to dosing, as measured by the SUDS (pre-IP SUDS), into the primary efficacy analysis. No changes were made to the PALISADE-4 clinical study protocol as a result of ongoing dataset analyses of prior studies or refinement of the PALISADE-4 SAP. We have completed the randomized portion of the Repeat Dose Study and expect topline results from the randomized portion of the Repeat Dose Study in the third quarter of calendar 2026. The OLE portion of PALISADE-3, PALISADE-4 and the Repeat Dose Study remains ongoing.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May 2026, we announced preliminary data from the ongoing real-world OLE portion of PALISADE-3. Based on an analysis of subjects who elected to participate in the OLE portion of PALISADE-3 (a safety population of 341 subjects), as of a May 8, 2026 data cutoff, administration of 3.2 µg of fasedienol, taken as needed up to six times per day in real-world, anxiety-provoking situations in daily life for up to 12 months, was observed to be well-tolerated, with no new drug-related safety findings or trends identified. Preliminary exploratory efficacy data over the first four months of treatment in the OLE portion of PALISADE-3 showed improvement over time on both the clinician-administered Liebowitz Social Anxiety Scale (LSAS) and the Social Phobia Inventory (SPIN). Because the OLE portion of PALISADE-3 is open-label and uncontrolled, these exploratory efficacy observations are not based on a comparison to placebo and should be interpreted with caution. We believe the preliminary safety and exploratory efficacy results of the OLE are generally consistent with the safety and efficacy results previously reported in the fasedienol open label, real-world Long-Term Safety Study completed in conjunction with PALISADE-1 and PALISADE-2, and in a prior randomized, double-blind, placebo-controlled multiple-dose Phase 2 crossover study of fasedienol, conducted in a real-world environment involving anxiety-provoking social and performance situations in daily life.</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June 2026, we announced that we achieved the minimum fasedienol patient exposures as recommended under ICH E1, the international regulatory standard governing safety database exposure recommendations for drugs intended for long-term treatment (chronic or repeated intermittent use for longer than 6 months) of non-life-threatening conditions. As of May 31, 2026, we estimate that the fasedienol clinical development program now exceeds ICH E1 minimum recommendations with over 1,500 subjects receiving at least a single exposure to fasedienol, over 300 subjects with at least 6-months of exposure, and over 100 subjects with at least 12 months of exposure. The 6-month and 12-month exposure numbers represent our estimate of the number of subjects who have completed the 6-month and 12-month visits in the fasedienol open-label safety studies. These exposure estimates are expected to continue to increase to the extent they include subjects currently participating in the ongoing OLE portions of PALISADE-3, PALISADE-4 and the Repeat Dose Study. Although we believe the minimum ICH E1 recommendations have been met, we have not yet aligned with the FDA on the specific patient exposure requirements to support a potential fasedienol NDA submission.</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believe PALISADE-4, if successful, together with the positive results from PALISADE-2 and confirmatory evidence from our overall fasedienol development program in SAD, including the Repeat Dose Study and OLE data, as well as confirmatory evidence we plan to generate based on FDA feedback to support the clinical meaningfulness of the duration and magnitude of effect of fasedienol, may establish substantial evidence of the effectiveness of fasedienol in support of a potential New Drug Application (NDA) submission for the acute treatment of SAD, although we have not discussed this plan with the FDA subsequent to receipt of topline results from the randomized portion of PALISADE-3. As we move closer toward potential completion of Phase 3 development of fasedienol, we plan to seek further feedback from the FDA regarding a potential NDA submission.</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fasedienol has the potential to be the first FDA-approved acute treatment of SAD in adults, and may provide significant advantages relative to the current suboptimal standard of care for this highly prevalent and serious mental health disorder.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Refisolone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Vasomotor Symptoms (Hot Flashes) due to Menopause</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Vasomotor symptoms (VMS), comprised of hot flashes and night sweats are the most common symptoms of the menopausal transition, affecting 60% - 80% of menopausal women in the U.S. according to SWAN (Study of Women Across the Nation) and other published studies. VMS can be described as a sudden, intense feeling of warmth spreading through the upper body and face, flushed appearance with red, blotchy skin, rapid heartbeat, and perspiration on the upper body. Each episode typically lasts between one and five minutes and may be accompanied by sweating, chills, and anxiety. Although there is individual variability in the frequency and severity of symptoms, VMS negatively impacts physical, emotional, social, and occupational well-being, and can significantly diminish the overall quality of life, mental health and work productivity for those who experience symptoms. While there are FDA-approved therapies for the treatment of</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moderate to severe VMS due to menopause, many women are unable to use current therapies due to contraindications and safety concerns, such as cardiovascular disorders, dementia, breast cancer, and liver toxicity.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Refisolone for the Treatment of Moderate to Severe Vasomotor Symptoms (Hot Flashes) due to Menopause</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Refisolone is our non-hormonal, non-systemic, as-needed pherine product candidate under development for the treatment of moderate to severe VMS (hot flashes) due to menopause, and potentially for the treatment of additional women’s health-focused indications. Refisolone’s proposed MOA is fundamentally differentiated from all currently approved treatments for VMS (hot flashes) due to menopause. Administration of low microgram doses of refisolone appears to rapidly activate peripheral nasal chemosensory neurons that is proposed to modulate the nasal-limbic amygdala-hypothalamic depressed mood and thermoregulatory neurocircuits. Notably, in vitro studies showed that refisolone had no observed engagement with hormonal receptors. An in vivo study in mice showed no observed estrogenic and/or androgenic activity and no changes in weight of the uterus or seminal vesicles after intranasal administration. Additionally, in an in vitro study refisolone did not exert observable effects on receptor targets with known abuse potential. Furthermore, a clinical study in human volunteers showed no detectable refisolone in blood plasma after administration of 12.8 ug/day, indicating the non-systemic nature of refisolone's potential therapeutic benefit.</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 randomized, double-blind, placebo-controlled exploratory Phase 2A clinical study of refisolone conducted in Mexico and designed to explore the efficacy, safety, and tolerability of intranasal administration of refisolone for the management of menopausal hot flashes in women, refisolone produced a significant reduction in the daily number of hot flashes compared to placebo at the end of the first week of treatment, and the improvement was maintained through each treatment week until the end of the four consecutive week treatment period. Refisolone was well-tolerated with no treatment-related serious adverse events (SAEs) reported, and the adverse event profiles were comparable between refisolone and placebo. No subject discontinued participation in the study as a result of adverse events.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2026, we announced that we received a “Study May Proceed” letter from the FDA under our U.S. Investigational New Drug Application (IND) application for refisolone. Our open IND enables us to pursue further Phase 2 clinical development of refisolone in the U.S. for the treatment of moderate to severe VMS (hot flashes) due to menopause, building on the successful exploratory Phase 2A clinical study described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Premenstrual Dysphoric Disorder</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 to the U.S. National Institutes of Health (NIH), 5% to 8% of menarcheal (menstruating women) individuals have moderate-to-severe symptoms that can cause significant distress and functional impairment, suggestive of premenstrual dysphoric disorder (PMDD), a severe, sometimes disabling extension of premenstrual syndrome (PMS). Like PMS, PMDD can cause bloating, breast tenderness, fatigue, and changes in sleep and eating habits but, distinctively, it can also cause extreme mood shifts that can disrupt daily life and damage relationships. The cause of PMDD is not clearly understood, but it is thought that neurotransmitter systems may trigger PMDD. Treatment of PMDD is aimed at preventing or minimizing symptomology.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Refisolone for Premenstrual Dysphoric Disorder</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an exploratory, randomized, double-blind, placebo-controlled Phase 2A clinical study of refisolone conducted in Mexico for management of the symptoms of PMDD in subjects with a regular menstrual cycle and at least a one-year history of PMDD, refisolone demonstrated a statistically significant improvement versus placebo in management of the symptoms of PMDD, including negative mood and physical and behavioral symptoms, using the subject-rated Penn Daily Symptom Report (DSR). Refisolone was well-tolerated with no SAEs.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Itruvone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Major Depressive Disorder</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Depression is a serious medical condition and a global public health concern that can arise at any time during a person's life. According to the World Health Organization (WHO), depression affects over 300 million people worldwide. The U.S. National Institute of Mental Health (NIMH) reports that approximately 21 million adults in the U.S., or approximately 8.4% of all adults in the U.S., experienced at least one major depressive episode in 2020. While many individuals will experience a depressive episode at some point during their lifetime, major depressive disorder (MDD) is different. MDD is the chronic, pervasive feeling of utter unhappiness and suffering, which impairs daily functioning. Symptoms of MDD can include a lack of pleasure in activities, changes in appetite resulting in weight fluctuations, insomnia or excessive sleeping, psychomotor agitation, loss of energy or increased fatigue, feelings of worthlessness or inappropriate guilt, difficulty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thinking, concentrating or making decisions, and thoughts of death or suicide and attempts at suicide. MDD is the psychiatric diagnosis most commonly associated with suicide.</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many people, depression cannot be controlled for any length of time without treatment. However, approximately two out of every three people who are treated for depression do not experience adequate therapeutic benefits from their initial treatment with a standard antidepressant. Even after multiple treatment attempts, about one-third of treated individuals are unable to find a sufficiently effective therapy. Inadequate response to current treatments is among the key reasons MDD is one of the leading public health concerns in the U.S., creating a significant unmet medical need for new agents with fundamentally differentiated MOAs and differentiated safety.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Itruvone for the Treatment of Major Depressive Disorder</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Itruvone is our intranasal pherine product candidate under development for the treatment of MDD. The FDA has granted fast track designation for development of itruvone for MDD. Unlike other antidepressants which rely on single or double-receptor occupancy in the brain, itruvone's proposed MOA involves modulation of the nasal-limbic amygdala anhedonia and depressed mood neurocircuits. The scope of itruvone's neural circuit activation, and potential impact on the brain, appears, in studies completed to date, to be faster and safer than can be achieved with current therapies targeting binding to any specific brain receptor. We believe non-systemic itruvone has the potential to treat MDD without causing the side effects and safety concerns that may be associated with currently approved systemic antidepressant therapies, including, among others, drug-drug interactions, psychological side effects, sexual side effects, sedation, weight gain and suicidal ideation.</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 randomized, double-blind, placebo-controlled parallel design exploratory Phase 2A clinical trial of itruvone as a stand-alone treatment for MDD conducted in Mexico, itruvone reduced depressive symptoms as soon as one week based on the 17-item Hamilton Depression Scale (HAM-D-17) scores compared to placebo. Itruvone was well-tolerated and did not cause psychological side effects (such as dissociation), sexual side effects, weight gain, or other safety concerns that may be associated with other approved pharmacological therapies for MDD. Positive data from our June 2023 U.S. Phase 1 trial of itruvone demonstrated that there were no reported treatment-related serious adverse events (SAEs) or discontinuations due to adverse events in the trial, consistent with the previous clinical study of itruvone. We have an open IND for itruvone in the U.S. and plan to pursue Phase 2 clinical development of itruvone in the U.S. for the treatment of MDD, in an effort to build on the positive results from the previous exploratory Phase 2A clinical trial of itruvone in MDD described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PH15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Cognitive and Psychomotor Impairment due to Mental Fatigue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Numerous conditions and disorders, such as shift work disorder, sleep apnea, and narcolepsy, can lead to debilitating sleep deprivation and mental fatigue. The prevalence of these conditions and disorders is high. For example, moderate to severe sleep apnea affects approximately 20% of adult men and 10% of postmenopausal women. Individuals affected by mental fatigue require improved treatment options with a differentiated safety profile, one without the potential for abuse liability or negative and treatment-limiting side effects and safety concerns that may lead to self-treatment and subsequent substance use disorders.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PH15 for Improvement of Psychomotor Impairment due to Mental Fatigue</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PH15 is our intranasal pherine product candidate under development for the improvement of psychomotor impairment caused by mental fatigue. PH15 is thought to target nasal receptors that modulate the nasal-entorhinal cortex area/hippocampus cognition neurocircuits, which are known to be associated with psychomotor activity and cognition, without requiring systemic absorption or direct action on neurons in the brain. PH15 has demonstrated favorable safety data in all clinical trials completed to date and we believe PH15’s potential MOA is differentiated from the MOA of all currently approved treatments to improve psychomotor impairment caused by mental fatigue.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 randomized, double-blind, placebo-controlled, crossover Phase 2A pilot study conducted in Mexico to explore the efficacy, safety, and tolerability of intranasal administration of PH15 on psychomotor performance as measured by reaction time in sleep-deprived participants, PH15 demonstrated a statistically significant improvement in reaction time and the number of errors on both isochronous and stochastic stimuli reactions tests as compared to placebo and caffeine in the sleep-deprived study participants. PH15 was well-tolerated in this study, with no treatment-related SAEs reported. The adverse event profiles of PH15 and placebo were comparable.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evaluating the potential Phase 2 development path forward for PH15 and the manufacturing, nonclinical and Phase 1 clinical programs required to support submission of a U.S. IND to facilitate further potential Phase 2 development of PH15 in the 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PH284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Cancer Cachexia</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Cachexia, also known as wasting syndrome, is a complex metabolic syndrome that causes a gradual loss of muscle and body weight. Cachexia is associated with chronic diseases like cancer, AIDS, heart failure, chronic obstructive pulmonary disease, anorexia nervosa, multiple sclerosis, tuberculosis, and anemia. According to the National Cancer Institute (NCI), cachexia is estimated to occur in up to 80% of people with advanced cancer, depending on the type of cancer and how well they respond to cancer treatment. Cachexia is thought to directly cause up to 30% of cancer deaths, often because of heart or respiratory failure related to muscle loss. Maintaining nutritional support and alleviating cachexia has the potential to improve the underlying condition of cancer. Currently, there are no medical interventions or approved drugs proven to optimally alleviate cachexia.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PH284 for Cancer Cachexia</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PH284 is our intranasal pherine product candidate with a novel, rapid-onset, neurocircuitry-focused proposed MOA that, we believe, is differentiated from all current treatments for the loss of appetite associated with chronic disorders, such as cancer or heart disease. PH284 is thought to act by modulating the nasal-limbic amygdala-hypothalamic depressed mood and appetite control neurocircuits.</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 double-blind, placebo-controlled exploratory Phase 2A study in Mexico designed to evaluate the efficacy, safety, and tolerability of intranasal administration of PH284 in female patients diagnosed with cachexia (induced by chronic loss of appetite) due to terminal cancer, PH284 induced a cumulative effect on mean Subjective Feeling of Hunger (SFH) scores, as compared to placebo. No unusual changes in body weight were observed in either the PH284 or placebo groups, though on average, there was a small gain in body weight for PH284 versus a small loss in placebo. PH284 demonstrated no serious treatment-related adverse events, and adverse events reported for the PH284 group were similar to those reported in the placebo-treated group. All the adverse events reported were attributed to the underlying medical condition (cancer) and were not deemed to be related to the administration of PH284 or placebo.</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evaluating the potential path forward for PH284, including an assessment of the manufacturing, nonclinical and Phase 1 clinical programs required to support a U.S. IND application for potential further Phase 2 clinical development of PH284 in the U.S. for the treatment of cancer cachexia or other appetite-related disorders.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AV-101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for NMDAR-related Neurological Disorders</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AV-101 (4-Cl-KYN) is our oral prodrug candidate that targets the NMDAR (N-methyl-D-aspartate receptor), an ionotropic glutamate receptor in the brain. Abnormal NMDAR function is associated with numerous neurological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favorable oral bioavailability and pharmacokinetic results. No binding of AV-101 or 7-Cl-KYNA to off-site targets was identified by an extensive receptor screening study. Moreover, in all clinical trials completed to date, AV-101 has been well-tolerated with no psychological side effects or safety concerns and no treatment-related SAEs that are often observed with classic channel-blocking NMDAR antagonists such as ketamine and amantadine. Nonclinical results also indicate that chronic administration of 4-Cl-KYN induces hippocampal neurogenesis and increases endogenous levels of KYNA, which also is a functional NMDAR glycine site antagonist.</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Based on observations and findings from preclinical, animal model, and human clinical studies, we believe AV-101 has the potential to become an oral treatment alternative for certain neuroscience disorders involving the NMDAR, including potentially levodopa-induced dyskinesia (</w:t>
      </w:r>
      <w:r>
        <w:rPr>
          <w:rFonts w:ascii="Times New Roman" w:cs="Times New Roman" w:eastAsia="Times New Roman" w:hAnsi="Times New Roman"/>
          <w:sz w:val="18"/>
          <w:szCs w:val="18"/>
          <w:i w:val="1"/>
          <w:iCs w:val="1"/>
          <w:color w:val="auto"/>
        </w:rPr>
        <w:t>LID</w:t>
      </w:r>
      <w:r>
        <w:rPr>
          <w:rFonts w:ascii="Times New Roman" w:cs="Times New Roman" w:eastAsia="Times New Roman" w:hAnsi="Times New Roman"/>
          <w:sz w:val="18"/>
          <w:szCs w:val="18"/>
          <w:color w:val="auto"/>
        </w:rPr>
        <w:t>) and neuropathic pain (</w:t>
      </w:r>
      <w:r>
        <w:rPr>
          <w:rFonts w:ascii="Times New Roman" w:cs="Times New Roman" w:eastAsia="Times New Roman" w:hAnsi="Times New Roman"/>
          <w:sz w:val="18"/>
          <w:szCs w:val="18"/>
          <w:i w:val="1"/>
          <w:iCs w:val="1"/>
          <w:color w:val="auto"/>
        </w:rPr>
        <w:t>NP</w:t>
      </w:r>
      <w:r>
        <w:rPr>
          <w:rFonts w:ascii="Times New Roman" w:cs="Times New Roman" w:eastAsia="Times New Roman" w:hAnsi="Times New Roman"/>
          <w:sz w:val="18"/>
          <w:szCs w:val="18"/>
          <w:color w:val="auto"/>
        </w:rPr>
        <w:t>). We do not anticipate further development and commercialization of AV-101 on our own. We are currently assessing whether there is a path forward for potential third-party collaborative manufacturing, late-stage clinical development and commercialization of AV-101 for one or more neurological disorders involving the NMDAR.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granted fast track designation for the investigation of AV-101 for the treatment of NP and for the adjunctive treatment of MDD.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strive to protect the proprietary know-how and technology that we believe is important to our business, including seeking and maintaining patents to the extent available for a particular product candidate, intended to cover their therapeutic methods of use, including treatment and prognostic methods, as well as processes for their manufacture, nasal spray devices for their administration and any other aspects of our discoveries and inventions that are commercially important to the development of our business.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also rely on trade secrets to protect aspects of our business that are not amenable to, or that we do not consider appropriate for, patent protection. We also utilize know-how, continuing technological innovation and in-licensing opportunities to develop and maintain our proprietary position. We seek to obtain domestic and international patent protection in appropriate markets, and endeavor to timely file patent applications for any new commercially valuable inventions.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protect our rights to our proprietary technology, we require all employees, as well as our external collaborators, consultants and CROs when feasible, to enter into agreements that require disclosure and assignment to us of ideas, developments, discoveries and inventions made by these employees, consultants, and CROs in the course of their service to us.</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plan to continue to expand our intellectual property portfolio by filing patent applications to the extent available for a particular product candidate related to methods of use, including treatment and patient selection, formulations, nasal administration devices, and manufacturing processes created or identified from the ongoing development of our product candidates.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121"/>
        </w:rPr>
        <w:t xml:space="preserve">We own granted patents and pending patent applications in the U.S. and in certain foreign countries. 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12121"/>
        </w:rPr>
        <w:t>, these patent properties consist of the following: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Fasedienol for the Acute Treatment of SAD</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granted U.S. patents relate to the use of fasedienol for the acute treatment of SAD and nominally expired or will in 2025 or 2028 and foreign patents which will nominally expire in 2026, subject to patent term extensions that may be available in the U.S. and in certain foreign countries. We expect regulatory and data exclusivity (discussed below) will be available upon product approval of fasedienol in the U.S. and certain foreign countries.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Itruvone for the Treatment of MDD</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granted U.S. and foreign patents relate to the use of itruvone to treat MDD and nominally will expire in 2033, subject to patent term extensions that may be available in the U.S. and certain foreign countries. We expect regulatory and data exclusivity will be available upon product approval of itruvone in the U.S. and certain foreign countries.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Refisolone for the Treatment of Vasomotor Symptoms (Hot Flashes) Due to Menopause and Other Indications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granted U.S. and foreign patents and corresponding pending foreign patent applications relate to the use of refisolone to treat VMS (hot flashes) due to menopause. Patents that have been or may yet be granted will expire in 2029. Because of the development timeline for this indication, it is unlikely that patent term extensions will be available in the U.S. or foreign countries. However, we expect regulatory and data exclusivity will be available upon product approval of refisolone in the U.S. and certain foreign countries.</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Other granted U.S. and foreign patents and corresponding pending foreign patent applications relate to the use of refisolone to treat migraines. Patents that may be granted on such patent applications nominally will expire in 2040, subject to patent term extensions that may be available in the U.S. and certain foreign countries. We expect regulatory and data exclusivity will be available should refisolone be approved for the treatment migraines in the U.S. and certain foreign countries.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patent applications pending in the U.S. and certain foreign countries relating to the use of refisolone to treat dysmenorrhea. Patents that may be granted on such patent applications nominally will expire in 2045, subject to patent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 extensions that may be available in the U.S. and certain foreign countries. We expect regulatory and data exclusivity will be available should refisolone be approved for the treatment of dysmenorrhea in the U.S. and certain foreign countries.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PH15 for the Improvement of Psychomotor and Cognitive Impairment due to Mental Fatigue</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patent applications filed in 2024 pending in the U.S. and certain foreign countries relating to the use of PH15 to improve psychomotor and cognitive impairment due to mental fatigue. Patents that may be granted on such patent applications nominally will expire in 2044, subject to patent term extensions that may be available in the U.S. and certain foreign countries. Regulatory and data exclusivity may be available upon product approval of PH15 for this indication in the U.S. and certain foreign countries.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Nasal Spray Device for Administration of Pherines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patent applications pending in the U.S. and certain foreign countries relating to nasal spray devices intended to improve the administration of pherines (including, for example, fasedienol, itruvone, refisolone, and PH15 discussed above) and the combination of the nasal spray device with these pherine product candidates. Patents that may be granted on such patent applications nominally will expire in 2045, subject to patent term extensions that may be available in the U.S. and certain foreign countries.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for the Potential Treatment of LID, NP, and Other Disorders</w:t>
      </w:r>
    </w:p>
    <w:p>
      <w:pPr>
        <w:spacing w:after="0" w:line="24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granted U.S. patents relate collectively to the use of AV-101 to treat depression, LID and neuropathic pain;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U.S. patent applications, and foreign granted patents and pending foreign patent applications relate collectively to the use of AV-101 to treat various disorders, including depression, LID, NP, tinnitus and obsessive-compulsive disorder;</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U.S. and foreign patent applications relate to the prognostic identification of high and low responders to the treatment of various neurological disorders with AV-101;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U.S. patents, and granted foreign patents and pending foreign patent applications relate to the manufacture of AV-101.</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various U.S. and foreign patents related to AV-101 nominally expire between 2034 and 2040, depending on the subject matter claimed in each patent, subject to patent term extensions that may be available in the U.S. and certain foreign countries. Regulatory and data exclusivity may be available upon product approval of AV-101 in the U.S. and certain foreign countries.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Adjustments and Extensions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base term of a U.S. patent is 20 years from the filing date of the earliest filed non-provisional patent application from which the patent claims priority. The term of a U.S. patent can be lengthened by patent term adjustment, in case of certain administrative delays at the U.S. Patent and Trademark Office (U.S. PTO). In some cases, the term of a U.S. patent may be shortened by a terminal disclaimer that reduces its term to align with that of a related patent.</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if any,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to offset the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(testing phase), plus the time between the submission date of an NDA and the approval of that application (approval phase). The FDA may reduce this patent term restoration period if it finds that an applicant did not act with due diligence during the testing phase or the approval phase. Only one patent related to an approved drug is eligible for the extension, and an application for the extension must be submitted prior to the expiration of the patent.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U.S. PTO, in consultation with the FDA, reviews and approves the application for any patent term extension or restoration. In the future, if circumstances permit, we intend to apply for extension or restoration of patent term for our applicable patents, if any, to extend patent life beyond their nominal expiration dates depending on the length of the clinical trials and other factors that affect the filing date of the relevant NDA. In the future, if and when our pharmaceutical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products receive FDA approval, we expect to apply for available patent term extensions on patents related to those products, their methods of use, or methods of manufacture.</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Some foreign jurisdictions, including various countries in Europe and Japan, have similar patent term extension provisions, which allow for the extension of the term of a patent that covers a drug approved by the applicable foreign regulatory agency.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to patents, we may rely on trade secrets to develop and maintain our competitive position. We protect trade secrets, if any, and also know-how, by establishing confidentiality agreements and invention assignment agreements with our employees, consultants, scientific advisors, contractors (including where appropriate, our CROs) and partners. These agreements provide that all confidential information developed or made known during the course of an individual’s or entity’s employment or other contractual relationship with the Company must be kept confidential during and after the relationship. These agreements also generally provide that all relevant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the misappropriation of our proprietary information by third parties.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own a registered trademark in the U.S. for “VISTAGEN,” for “biotechnology services” in international class 42, which was renewed in 2021. We have a U.S. registration application pending for VISTAGEN in international class 10 for “human and veterinary preparations for medical uses.”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Transactions and Relationships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Given the depth of clinical development across our neuroscience pipeline and potential additional preclinical candidates from our pherine platform, we have the potential to pursue multiple strategic development and commercialization partnerships across our pipeline to efficiently unlock potential incremental value of our product candidate portfolio. Any such partnership considerations will be designed to amplify our ongoing or past internal research and development activities, which may efficiently advance key development and regulatory milestones for our product candidates.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believe that our highly selective outsourcing of certain research, development, legal, manufacturing and regulatory advisory activities gives us flexible access to a broad range of capabilities and expertise at a lower overall cost than developing and maintaining such capabilities and expertise internally on a full-time basis. In particular, we retain third parties for certain accounting, legal, manufacturing, nonclinical development, clinical development, and regulatory affairs support.</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previously entered into, and may continue to seek multiple additional global and regional strategic relationships focused on the development and/or commercialization of our product candidates in key pharmaceutical markets in the U.S. and worldwide.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Supply Agreements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engage contract development and manufacturing organizations (CDMOs) to manufacture supplies for our nonclinical and clinical development programs, and contract research organizations (CROs) to assist us with the advancement and management of our nonclinical and clinical development programs. We do not currently have long-term or exclusive supply agreements with any of our CDMOs, and we obtain manufacturing services on a purchase order or work order basis. Similarly, our agreements with CROs are non-exclusive. We have no material contractual purchase obligations under these arrangements, except to the extent we order supplies or request services under specific work orders that we generate with these third parties from time to time. We plan to negotiate a commercial supply agreement with one or more of our current CDMOs, or with a new CDMO following successful process transfer, to support potential commercialization of our product candidates, if approved.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and Collaboration Agreement with AffaMed Therapeutics, Inc. (formerly EverInsight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June 2020, we entered into a license and collaboration agreement (the EverInsight License Agreement) with EverInsight Therapeutics Inc., a company incorporated under the laws of the British Virgin Islands (EverInsight), pursuant to which we granted EverInsight an exclusive license to develop, manufacture and commercialize fasedienol for multiple anxiety-related disorders in Greater China (Mainland China, Hong Kong, Macau and Taiwan), South Korea and Southeast Asia (Indonesia, Malaysia, Philippines, Thailand and Vietnam) (collectively, the Territory). Subsequent to entering into the EverInsight License Agreement, in October 2020, EverInsight merged with AffaMed Therapeutics, Inc. (AffaMed), which as a combined, complementary entity is focusing on developing and commercializing therapeutics to address ophthalmologic and neurological disorders in Greater China and beyond. Accordingly, we refer to EverInsight and the EverInsight License Agreement as AffaMed and the AffaMed Agreement, respectively. We retained development, manufacturing and commercialization rights for fasedienol in the rest of the world.</w:t>
      </w:r>
    </w:p>
    <w:p>
      <w:pPr>
        <w:spacing w:after="0" w:line="2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Under the terms of the AffaMed Agreement, we received an upfront payment of $5.0 million in August 2020. We may also receive additional milestone payments upon AffaMed’s achievement of certain developmental, regulatory and sales milestone events related to fasedienol. In addition, we are entitled to receive certain royalties on net sales, if any, of fasedienol in the Territory following receipt of any required regulatory approval. However, AffaMed’s achievement of any of such developmental, regulatory and sales milestone events, or commercial sales of fasedienol in the Territory, cannot be guaranteed. AffaMed has the right to sublicense to affiliates and third parties in the Territory. AffaMed is responsible for all costs related to developing, obtaining regulatory approval of and commercializing fasedienol in the Territory. A joint development committee was established between the Company and AffaMed to coordinate and review the development, manufacturing and commercialization plans with respect to fasedienol in the Territory. Unless earlier terminated due to certain material breaches of the contract, or otherwise, the AffaMed Agreement will expire on a jurisdiction-by-jurisdiction basis until the latest to occur of expiration of the last valid claim under a licensed patent of fasedienol in such jurisdiction, the expiration of regulatory exclusivity in such jurisdiction or ten years after the first commercial sale of fasedienol in such jurisdiction.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Negotiation Agreement with Fuji Pharma Co., LTD.</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1, 2023, we entered into an Exclusive Negotiation Agreement (the Negotiation Agreement) with Fuji Pharma Co., Ltd. (Fuji Pharma), a Tokyo Stock Exchange-listed, Japan-based pharmaceutical company. Pursuant to the terms and conditions of the Negotiation Agreement, we agreed, for a limited period of time, to negotiate exclusively with Fuji Pharma a potential exclusive license agreement, to develop and commercialize refisolone in Japan (the Potential Definitive Agreement). The Negotiation Agreement provides for an exclusive negotiation period beginning on the date of formal written notice being received by Fuji Pharma that we have selected a CDMO to conduct certain toxicology studies for the product candidate (Payment Event), and terminating on the later to occur of (i) fourteen (14) months from the date of the Payment Event or (ii) ninety (90) days from the date that the FDA accepts an IND application for refisolone for the treatment of vasomotor symptoms (hot flashes) due to menopause (Exclusive Negotiation Period). Following the receipt of the Study May Proceed letter from the FDA under our U.S. IND for refisolone, we expect the Exclusive Negotiation Period will end on or about June 20, 2026.</w:t>
      </w:r>
    </w:p>
    <w:p>
      <w:pPr>
        <w:spacing w:after="0" w:line="2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consideration for the Exclusive Negotiation Period, we received from Fuji Pharma a payment of $1.5 million (Purchase Price). The Purchase Price is non-refundable, except upon a material breach of the Negotiation Agreement by us, however, should we and Fuji Pharma enter into the Potential Definitive Agreement, the Purchase Price will be credited against any upfront fee due in connection with the execution of such agreement. Neither we nor Fuji Pharma are obligated to enter into the Potential Definitive Agreement, and if we and Fuji Pharma have not entered into the Potential Definitive Agreement on or before the end of the Exclusive Negotiation Period, either party may terminate any further negotiations.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Manufacturing of our pherine drug substances and drug product is performed by CDMOs who must comply with current good manufacturing practice (cGMP) regulations governed by the FDA. Our pherine drug substances are synthetic small molecules that are manufactured through a series of chemical reactions using key starting materials and/or with commercially available raw materials necessary to complete the chemical reactions. We do not currently own or operate, nor do we plan to own or operate, manufacturing facilities for the production of our drug substances and drug product for nonclinical, clinical or commercial use. We conduct manufacturing and analytical testing activities at various different CDMOs outlined by individual project scopes of work to supply all of our nonclinical and clinical trial needs. We conduct periodic quality audits on all of the CDMO’s facilities to ensure that their quality systems are fully compliant with cGMPs. We believe that all of our existing CDMOs are, or will be, capable of providing sufficient quantities of both drug</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substances and drug products to meet our projected needs. New CDMOs may be added to our supply chain strategy in </w:t>
      </w:r>
      <w:r>
        <w:rPr>
          <w:rFonts w:ascii="Times New Roman" w:cs="Times New Roman" w:eastAsia="Times New Roman" w:hAnsi="Times New Roman"/>
          <w:sz w:val="21"/>
          <w:szCs w:val="21"/>
          <w:color w:val="008080"/>
        </w:rPr>
        <w:t>t</w:t>
      </w:r>
      <w:r>
        <w:rPr>
          <w:rFonts w:ascii="Times New Roman" w:cs="Times New Roman" w:eastAsia="Times New Roman" w:hAnsi="Times New Roman"/>
          <w:sz w:val="18"/>
          <w:szCs w:val="18"/>
          <w:color w:val="auto"/>
        </w:rPr>
        <w:t>he future to supplement and/or replace existing CDMO to ensure that our nonclinical, clinical and, subject to NDA approval, commercial manufacturing and testing needs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By design, we do not currently have any supply agreements in place with any CDMOs, for either long-term supply or redundant supply of our pherine drug substances or drug products If our pherine drug products are approved for commercial distribution, we intend to execute long-term commercial supply agreement(s) with our CDMOs to manufacture future commercial supplies. We plan to mitigate potential commercial supply risks for any of our products that are approved in the future through inventory management and through exploring additional back-up manufacturers, both in the U.S. and outside the U.S., to diversify our drug substance and/or drug product supply chains.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 The large size and expanding scope of the neuroscience markets, especially the high unmet need in large and growing global markets for anxiety and depression disorders, make them attractive therapeutic areas for biopharmaceutical businesses. While we believe that our employees and consultants, scientific knowledge, technology, and development experience provide us with competitive 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large and established research and development and commercial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if approved, are likely to be their efficacy, safety, tolerability, convenience, price, the level of branded and generic competition, and the availability of reimbursement from government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Anxiety Disorder</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Currently there is no FDA-approved acute treatment of SAD, and we are aware of no company developing a potential acute treatment of SAD that is a nasal spray and involves the same neurocircuitry-focused MOA as fasedienol. We are aware of companies that are or may be developing therapies targeting acute treatment in the SAD market, including, among others, Vanda Pharmaceuticals, Tonix Pharmaceuticals, Sensorium Therapeutics, Engrail Therapeutics, and others. In addition, we may face competition to fasedienol for treatment of anxiety in adult and adolescent patients with SAD from generic antidepressants, as well as off-label use of generic benzodiazepines and generic beta blockers, even though no drug in either of those generic drug classes has been systematically developed for treatment of SAD, acute or otherwise, and thus no drug in either of such generic drug classes has been FDA-approved for the acute treatment of SAD. Although there are three generic oral antidepressants approved by the FDA for the treatment of SAD, they are not approved for the acute treatment of SAD, do not achieve rapid-onset therapeutic effects and are associated with undesirable side effects. Cognitive behavioral therapy is also an important treatment approach to SAD that may be used along with or instead of pharmacological treatments, including antidepressants, benzodiazepines, beta blockers and potentially fasedienol or other drug candidates in clinical development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Depressive Disorder</w:t>
      </w:r>
    </w:p>
    <w:p>
      <w:pPr>
        <w:spacing w:after="0" w:line="2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Patients with MDD are typically treated with a variety of oral antidepressant medications or oral atypical antipsychotics. These treatments often include generic antidepressants such as: fluoxetine (Prozac), previously marketed by Eli Lilly and Company; sertraline (Zoloft) and venlafaxine (Effexor), both previously marketed by Pfizer, Inc.; paroxetine (Paxil) and bupropion (Wellbutrin), both previously marketed by GlaxoSmithKline (now GSK), and brexpiprazole (Rexulti) previously marketed by Otsuka America. Treatments may also include currently marketed proprietary branded medications indicated for MDD such as: Trintellix, which is marketed by Takeda Pharmaceuticals America, Inc. and H. Lundbeck A/S; Viibryd and Vraylar, which are marketed by AbbVie, Auvelity, which is marketed by Axsome Therapeutics, and Caplyta, which is marketed by Intra-Cellular Therapies, recently acquired by Johnson &amp; Johnson. Although currently there are no FDA-approved therapies for MDD with the neurocircuitry-focused MOA of itruvone, we are aware of numerous companies that are developing and commercializing or have commercialized therapies targeting the MDD market, including, among others, Axsome Therapeutics, Definium Therapeutics , Xenon Pharmaceuticals, Johnson &amp; Johnson, Usona Institute, Neumora Therapeutics, Boehringer Ingelheim, Syndeio Biosciences, Suven Life Sciences, GH Research, Draig Therapeutics, HMNC Brain Health, and Sirtsei Pharmaceuticals. Additionally, with respect to MDD, we expect that itruvone will have to compete with a variety of non-pharmacological alternatives for treatment of MDD, such as psychotherapy and electroconvulsive therapy.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Psychedelic and rapid-acting neuropsychiatric therapies for depression are advancing in clinical development, including programs targeting glutamatergic, neuroplasticity, and broader neuromodulatory pathways. These development candidates are being advanced by companies such as Compass Pathways, Otsuka Pharmaceutical (through its acquisition of Transcend Therapeutics), and AbbVie (through its acquisition of Gilgamesh Pharmaceuticals), among others. These therapies are being developed based on the potential for rapid onset of antidepressant activity, with some patients potentially experiencing meaningful improvement in depressive symptoms within hours to days.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Many of these programs require supervised dosing sessions in controlled clinical settings, differentiating them from traditional chronic outpatient antidepressant therapies. As a result, we expect these therapies to be positioned primarily for treatment-resistant depression (TRD) and other difficult-to-treat patient populations. We will continue to monitor the advancement of these development candidates and evaluate their potential impact on the depression treatment landscape as they advance through development and potentially enter the U.S. and global markets.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Vasomotor Symptoms (hot flashes) due to Menopause</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aware of various current pharmacotherapies for vasomotor symptoms (hot flashes) due to menopause, including hormonal therapy (estrogen with or without progesterone, or a synthetic progestin), gabapentins, certain antidepressants, clonidine, as well as Veozah, marketed by Astellas Pharma, and a similar product, Lynkuet, marketed by Bayer. Additional companies with potential products in development for VMS include Gedeon Richter, Changchun, AbCellera, Noema Pharma, Tioga Pharma, Hansoh BioMedical.</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VMS market continues to evolve following the FDA’s removal of the boxed warning from certain estrogen-based therapies in the first quarter of 2026, contributing to broader re-evaluation of hormone replacement therapy (HRT) risk perceptions among patients and prescribing physicians. The market remains open and in strong need for differentiated non-hormonal options due to persistent concerns around systemic hormone exposure, contraindications, tolerability, and patient preference. We continue to monitor the development and commercial activity as the VMS competitive market evolves and advances.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Indications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still assessing our potential competition for PH15 to improve cognitive and/or psychomotor impairment and PH284 for cancer cachexia.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and supranational regions, extensively regulate, among other things, the research, development, testing, manufacture, quality, packaging, storage, recordkeeping, labeling, advertising, promotion, distribution, marketing, import, and export of pharmaceutical products such as those we are developing. In addition, healthcare regulatory bodies in the U.S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(FDCA) and its implementing regulations. The process required by the FDA before product candidates may be marketed in the U.S. generally involves the following:</w:t>
      </w:r>
    </w:p>
    <w:p>
      <w:pPr>
        <w:spacing w:after="0" w:line="162" w:lineRule="exact"/>
        <w:rPr>
          <w:sz w:val="20"/>
          <w:szCs w:val="20"/>
          <w:color w:val="auto"/>
        </w:rPr>
      </w:pPr>
    </w:p>
    <w:p>
      <w:pPr>
        <w:ind w:left="660" w:right="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(GLP) regulations;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for each clinical site, or through a centralized process, before each trial may be initiated;</w:t>
      </w:r>
    </w:p>
    <w:p>
      <w:pPr>
        <w:spacing w:after="0" w:line="121" w:lineRule="exact"/>
        <w:rPr>
          <w:rFonts w:ascii="Times New Roman" w:cs="Times New Roman" w:eastAsia="Times New Roman" w:hAnsi="Times New Roman"/>
          <w:sz w:val="18"/>
          <w:szCs w:val="18"/>
          <w:color w:val="auto"/>
        </w:rPr>
      </w:pPr>
    </w:p>
    <w:p>
      <w:pPr>
        <w:ind w:left="660" w:hanging="328"/>
        <w:spacing w:after="0" w:line="239" w:lineRule="exact"/>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human clinical trials in accordance with Good Clinical Practice regulations (GCPs) to evaluate the safety and efficacy of the product candidate for its intended use;</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required information and submission to the FDA of a New Drug Application (NDA) after completion of pivotal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candidate is produced to assess compliance with current cGMPs, and to assure that the facilities, methods, and controls are adequate to preserve the drug candidate’s identity, strength, quality, and purity;</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FDA inspection of selected clinical investigation sites to assess compliance with GCPs;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IND Submission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Once a product candidate is nominated for further development, it enters the preclinical testing stage. Preclinical studies include laboratory evaluation of drug substance chemistry, pharmacology, toxicity, and drug product formulation, as well as animal studies. Prior to commencing the first clinical trial with a product candidate, an IND sponsor must submit the results of the preclinical tests, together with manufacturing information and analytical data, among other things, to the FDA as part of an IND. An IND is a request for allowance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will generally continue even after the IND is submitted.</w:t>
      </w:r>
    </w:p>
    <w:p>
      <w:pPr>
        <w:spacing w:after="0" w:line="17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An IND becomes effective 30 days after receipt by the FDA, unless the FDA, within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time period, notifies the applicant of safety and/or product quality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concerns or noncompliance with applicable requirements, and in either case, the proposed trial or trials may not begin or continue until the FDA notifies the IND sponsor that the hold has been lifted. As a result, submission of an IND may not result in FDA authorization to commence a clinical trial.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in accordance with GCP requirements, which include, among other things, the requirements that all research subjects provide their informed consent in writing for their participation in any clinical trial, as well as review and approval of the study by an IRB or ethics committee. Investigators must also provide certain information to the clinical trial sponsors to allow the sponsors to make certain financial disclosures to the FDA. Clinical trials are conducted under protocols detailing, among other things, the objectives of the trial, dosing procedures, subject selection and exclusion criteria and the safety and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2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an IRB or ethics committee at each study site participating in the clinical trial, or a central IRB, as applicable, must review and approve the plan for each protocol before a clinical trial commences. The applicable IRB or ethics committee must also approve certain information regarding the trial and the consent form that must be provided to each trial subject or his or her legal representative, among other responsibilities. The FDA or the sponsor may suspend a clinical trial at any time on various grounds, including a finding that the research subjects or patients are being exposed to an unacceptable health risk. Similarly, an IRB or ethics committee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checkpoints based on access to certain data from the trial. There are also requirements governing the reporting of ongoing clinical studies and clinical study results to public registries, including ClinicalTrials.gov.</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(and their active pharmaceutical ingredients) is subject to cGMP requirements. Investigational drugs and active pharmaceutical ingredients imported into the U.S. are also subject to regulation by the FDA relating to their labeling and distribution. Further, the export of investigational drug products outside of the U.S. is subject to regulatory requirements of the receiving country as well as U.S. export requirements under the FDCA.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for purposes of NDA approval, human clinical trials are typically conducted in three sequential phases, which may overlap or be combined.</w:t>
      </w:r>
    </w:p>
    <w:p>
      <w:pPr>
        <w:spacing w:after="0" w:line="223" w:lineRule="exact"/>
        <w:rPr>
          <w:sz w:val="20"/>
          <w:szCs w:val="20"/>
          <w:color w:val="auto"/>
        </w:rPr>
      </w:pPr>
    </w:p>
    <w:p>
      <w:pPr>
        <w:jc w:val="both"/>
        <w:ind w:left="660" w:hanging="328"/>
        <w:spacing w:after="0" w:line="25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product candidate is initially introduced into healthy human volunteers or subjects with the target disease or condition, and tested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safety, dosage tolerance, absorption, metabolism, distribution, and excretion. If possible, Phase 1 trials may also be used to gain an initial indication of effectiveness.</w:t>
      </w:r>
    </w:p>
    <w:p>
      <w:pPr>
        <w:spacing w:after="0" w:line="174"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—the product candidate is evaluated in limited subject populations with a specified disease or condition to evaluate preliminary efficacy,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optimal dosages, dosage tolerance and schedule, possible adverse effects and safety risks.</w:t>
      </w:r>
    </w:p>
    <w:p>
      <w:pPr>
        <w:spacing w:after="0" w:line="120" w:lineRule="exact"/>
        <w:rPr>
          <w:rFonts w:ascii="Times New Roman" w:cs="Times New Roman" w:eastAsia="Times New Roman" w:hAnsi="Times New Roman"/>
          <w:sz w:val="18"/>
          <w:szCs w:val="18"/>
          <w:color w:val="auto"/>
        </w:rPr>
      </w:pPr>
    </w:p>
    <w:p>
      <w:pPr>
        <w:jc w:val="both"/>
        <w:ind w:left="660" w:right="20" w:hanging="328"/>
        <w:spacing w:after="0" w:line="217" w:lineRule="exact"/>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—the product candidate is evaluated in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clinical trials in expanded patient populations, generally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to generate enough data to provide substantial evidence of clinical efficacy and to further test for safety. Phase 3 trials are intended to establish the overall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profile of the product, and to provide adequate information for the labeling of the product.</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also require, or companies may conduct, additional clinical trials for the same indication after a product is approved. These clinical trials, sometimes referred to as Phase 4 studies are often conducted to gain additional experience from the treatment of patients in the intended therapeutic indication and may be required by the FDA as a condition of approval of the 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NDA Submission, Review by the FDA, and Marketing Approval</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the results of product development, including chemistry, manufacturing, and control (CMC) information, results from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(PDUFA). In addition, if the product candidate is approved, program fees must be paid on an annual basis. Waivers of application user fees may be obtained under certain limited circumstances. For example, product candidates that are designated as orphan drugs, which are further described below, are not subject to application user fees unless the application includes an indication other than the orphan indication.</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under the Pediatric Research Equity Act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deemed safe and effective. Under PREA, NDAs and certain supplements must contain a pediatric assessment unless the sponsor has received a deferral or waiver.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FDA may require submission of a risk evaluation and mitigation strategy (REMS) in connection with an NDA to ensure that the benefits of the drug outweigh its risks. If the FDA concludes a REMS is needed, the sponsor of the NDA must submit a proposed REMS plan, which could include medication guides, physician communication plans, and elements to assure safe use, such as restricted distribution methods, patient registries, or other risk minimization tools. An assessment of the REMS must also be conducted at set intervals. A REMS may also be required by the FDA following product approval if the FDA determines that implementation of a REMS is necessary to ensure that the benefits of the drug continue to outweigh its risks.</w:t>
      </w:r>
    </w:p>
    <w:p>
      <w:pPr>
        <w:spacing w:after="0" w:line="212"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8"/>
          <w:szCs w:val="18"/>
          <w:color w:val="auto"/>
        </w:rPr>
        <w:t>Once an NDA has been submitted, the FDA conducts a preliminary review of the application within the first 60 days after submission, before accepting it for filing. If the FDA determines that the NDA is not sufficiently complete to permit a substantive review, the application must be resubmitted with additional information requested by the FDA. The resubmitted application is also subject to review before the FDA accepts it for filing. Once the submission is accepted for filing, the FDA begins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depth substantive review of the NDA. The FDA reviews an NDA to determine, among other things, whether a product is safe and effective for its intended use and whether its manufacturing is cGMP-compliant to assure and preserve the product’s identity, strength, quality and purity.</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FDA has agreed to a set of performance goals and procedures under PDUFA to review 90% of all applications within ten months from the 60-day filing date for its initial review of a standard NDA for a New Molecular Entity (NME). For non-NME standard applications, the FDA has set the goal of completing its review of 90% of all applications within ten months from the submission receipt date. Such deadlines are referred to as the PDUFA date. The review process and the PDUFA goal date may also be extended for a three-month period if the FDA requests, or the NDA sponsor otherwise provides, substantial additional information or clarifications deemed a “major amendment” to the application.</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and/or its drug substance is manufactured. The FDA will not approve an application unless it determines that the manufacturing processes and facilities, including contract manufacturers and subcontractors, are in compliance with cGMP requirements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adequate to ensure consistent production of the product within the required specifications. Additionally, before approving an NDA, the FDA may inspect one or more clinical trial sites to assure compliance with GCPs.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after the FDA conducts any inspections of the manufacturing facilities and clinical trial sites, the FDA may issue an approval letter, or, in some cases, a Complete Response Letter (CRL). An approval letter authorizes commercial marketing of the drug for specific indications and with specific prescribing information which was reviewed in connection with the NDA. A CRL indicates that the review cycle of the application is complete, and the application is not ready for approval in its current form. A CRL describes the specific deficiencies that the FDA identified in the NDA and describes the conditions that must be met to secure final approval of a resubmitted NDA. The deficiencies identified may be minor, for example, requiring labeling changes, or major, for example, requiring the sponsor to conduct additional clinical trials. If a CRL is issued, the applicant may either resubmit the NDA, addressing all of the deficiencies identified in the CLR; withdraw the NDA; or request an opportunity for a hearing. If the sponsor resubmits the NDA, the FDA has the goal of reviewing 90% of resubmitted applications in either two or six months (from receipt) depending on the content of the resubmission.</w:t>
      </w:r>
    </w:p>
    <w:p>
      <w:pPr>
        <w:spacing w:after="0" w:line="212"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8"/>
          <w:szCs w:val="18"/>
          <w:color w:val="auto"/>
        </w:rPr>
        <w:t>Even with the submission of additional information, the FDA ultimately may decide that the resubmitted NDA does not satisfy the regulatory criteria for approval. If and when the issues identified in a CRL have been addressed and resolved to the FDA’s satisfaction, the FDA may issue an approval letter. 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studies be conducted to further assess a drug’s safety and efficacy, require testing and surveillance programs to monitor the product after commercialization, or impose other conditions, including distribution restrictions or other risk management mechanisms under a REMS, any of which can materially affect the potential market and profitability of the product.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Breakthrough Therapy designation, priority review, and accelerated approval which are intended to expedite or simplify the process for the development and FDA review of certain investigational products that are intended for the treatment of serious or life-threatening diseases or conditions.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candidate is intended to treat a serious or life-threatening disease or condition and demonstrates the potential to address an unmet medical need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sponsor may also request designation of a product candidate as a “Breakthrough Therapy.” A Breakthrough Therapy-designated product candidate is defined as a drug that is intended, alone or in combination with one or more other drugs or biologics, to treat a serious or life-threatening disease or condition, where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 disciplinary review.</w:t>
      </w:r>
    </w:p>
    <w:p>
      <w:pPr>
        <w:spacing w:after="0" w:line="216"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a Fast Track designation or Breakthrough Therapy designation, may also be eligible for other types of FDA programs intended to expedite development and review, such as Priority Review. The FDA may grant Priority Review to NDAs for drugs that are intended to treat serious conditions and, if approved, would provide significant improvements in the safety or effectiveness of the treatment, diagnosis, or prevention of serious conditions. When an NDA is granted Priority Review, the PDUFA goal for the FDA is to review an NDA within six months, rather than the standard review of ten months, of the 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filing date for NMEs and within six months of the submission receipt date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NMEs.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approved indication or use within the relevant disease or condition for seven years, except in limited circumstances, such as a showing of clinical superiority to the product with orphan exclusivity within the relevant indication or use or inability to manufacture the product in sufficient quantities to meet the needs relating to the approved indication or use. The designation of such drug also entitles a party to financial incentives such as opportunities for grant funding towards clinical trial costs, tax advantages and user-fee waivers. However, competitors may receive approval of different products for the same indication or use for which the orphan product has exclusivity or obtain approval for the same product but for a different indication or use for which the orphan product has exclusivity. In addition, if an orphan designated product receives marketing approval for a disease or condition broader than what is designated, it may not be entitled to orphan exclusivity.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Regulation of Combination Products</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Certain product candidates may be comprised of components, such as drug components and device components, which would normally be regulated under different types of regulatory authorities, and frequently by different centers at the FDA. These products are known as combination products. Under the Federal Food, Drug and Cosmetic Act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combination product with a drug primary mode of action generally would be reviewed and approved pursuant to the drug approval processes under the FDCA. In reviewing the NDA for such a product candidate, however, FDA reviewers in the drug center could consult with their counterparts in the device center to ensure that the device component of the combination product met applicable requirements regarding safety, effectiveness, durability and performance. In addition, under FDA regulations, drug-device combination products are subject to cGMP requirements applicable to both drugs and devices, including the Quality System Regulation, currently applicable to medical devices.</w:t>
      </w:r>
    </w:p>
    <w:p>
      <w:pPr>
        <w:spacing w:after="0" w:line="17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Post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Approval Requirements</w:t>
      </w:r>
    </w:p>
    <w:p>
      <w:pPr>
        <w:spacing w:after="0" w:line="2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 of drug products; and post-approval obligations imposed as a condition of approval, such as additional clinical trials, REMS, and surveillance to assess safety and effectiveness after commercialization.</w:t>
      </w:r>
    </w:p>
    <w:p>
      <w:pPr>
        <w:spacing w:after="0" w:line="189"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NDA holder and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187"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or notification before being implemented. FDA regulations also require investigation and correction of any deviations from cGMP and product specifications and impose reporting and documentation requirements upon the sponsor and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that the sponsor may decide to use. Accordingly, manufacturers must continue to expend time, money, and effort in the area of production and quality control to maintain cGMP compliance.</w:t>
      </w:r>
    </w:p>
    <w:p>
      <w:pPr>
        <w:spacing w:after="0" w:line="211"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8"/>
          <w:szCs w:val="18"/>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w:t>
      </w:r>
    </w:p>
    <w:p>
      <w:pPr>
        <w:spacing w:after="0" w:line="20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at any point before or after product approval, may result in significant regulatory actions. Such actions may include:</w:t>
      </w:r>
    </w:p>
    <w:p>
      <w:pPr>
        <w:spacing w:after="0" w:line="20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revocation, or withdrawal of an approval;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or termination of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or mandated modification of promotional materials or labeling;</w:t>
      </w:r>
    </w:p>
    <w:p>
      <w:pPr>
        <w:spacing w:after="0" w:line="197" w:lineRule="exact"/>
        <w:rPr>
          <w:rFonts w:ascii="Times New Roman" w:cs="Times New Roman" w:eastAsia="Times New Roman" w:hAnsi="Times New Roman"/>
          <w:sz w:val="18"/>
          <w:szCs w:val="18"/>
          <w:color w:val="auto"/>
        </w:rPr>
      </w:pPr>
    </w:p>
    <w:p>
      <w:pPr>
        <w:ind w:left="660" w:hanging="328"/>
        <w:spacing w:after="0" w:line="239" w:lineRule="exact"/>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corrective information, issuance of safety alerts, imposition of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requirements, including the need for additional testing, imposition of distribution or other restrictions under a REMS;</w:t>
      </w:r>
    </w:p>
    <w:p>
      <w:pPr>
        <w:spacing w:after="0" w:line="2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product seizures or detentions;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allow imports or exports;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w:t>
      </w:r>
    </w:p>
    <w:p>
      <w:pPr>
        <w:spacing w:after="0" w:line="2" w:lineRule="exact"/>
        <w:rPr>
          <w:rFonts w:ascii="Times New Roman" w:cs="Times New Roman" w:eastAsia="Times New Roman" w:hAnsi="Times New Roman"/>
          <w:sz w:val="18"/>
          <w:szCs w:val="18"/>
          <w:color w:val="auto"/>
        </w:rPr>
      </w:pPr>
    </w:p>
    <w:p>
      <w:pPr>
        <w:ind w:left="660" w:right="20" w:hanging="328"/>
        <w:spacing w:after="0" w:line="24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injunctions, fines, consent decrees, corporate integrity agreements, debarment from receiving government contracts and new orders under existing contracts;</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federal and state healthcare programs, restitution, disgorgement; or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including fines and imprisonment.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Non-Patent Exclusivity</w:t>
      </w: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FDCA provides five years of non-patent data exclusivity for a drug product approved as a new chemical entity (NCE). An NCE is a drug that contains no active moiety that has been approved by the FDA in any other NDA. An active moiety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Abbreviated New Drug Application (ANDA) or an NDA submitted under Section 505(b)(2) NDA that contains the previously approved active moiety. An ANDA or 505(b)(2) application, however, may be submitted one year before NCE exclusivity expires if the application contains a certification of patent invalidity or non-infringement to one of the patents listed with the FDA by the innovator NDA holder.</w:t>
      </w:r>
    </w:p>
    <w:p>
      <w:pPr>
        <w:spacing w:after="0" w:line="211"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The FDCA alternatively provides three years of non-patent exclusivity to the holder of an NDA, including a 505(b)(2) NDA or supplement to an existing NDA, when the application contains reports of new clinical investigations (NCIs), other than bioavailability studies, conducted by the sponsor that were essential to approval of the application. Changes to an approved drug product that affect its active ingredient(s), strength, dosage form, route of administration or conditions of use may qualify for this exclusivity. During the NCI exclusivity period, FDA may not approve an ANDA or 505(b)(2) NDA by another company for the condition of approval of the drug to which the exclusivity applies. NCE and NCI exclusivities will not delay the submission or approval of a full NDA; however, an applicant submitting a full NDA would be required to conduct or obtain a right of reference to all preclinical studies and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clinical trials necessary to demonstrate safety and efficacy.</w:t>
      </w:r>
    </w:p>
    <w:p>
      <w:pPr>
        <w:spacing w:after="0" w:line="186"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exclusivity periods described above as well as applicable patent terms. This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Pediatric exclusivity is not a patent term extension, but it effectively extends the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and Transparency Laws and Regulations</w:t>
      </w:r>
    </w:p>
    <w:p>
      <w:pPr>
        <w:spacing w:after="0" w:line="243"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8"/>
          <w:szCs w:val="18"/>
          <w:color w:val="auto"/>
        </w:rPr>
        <w:t>Following product approval, our business activities, including but not limited to research, sales, promotion, marketing, distribution, medical education, sponsorships, relationships with prescribers and other referral sources, and other activities will be subject to regulation by numerous federal and state regulatory and law enforcement authorities in the United States in addition to the FDA, including the Department of Justice, the Department of Health and Human Services and its various divisions (including the Centers for Medicare &amp; Medicaid Services (CMS), the Office of Inspector General (OIG), and the Health Resources and Services Administration (HRSA)), the Department of Veterans Affairs (VA), the Department of Defense (DOD), and certain state and local governmental authorities.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We must comply with numerous healthcare laws, including but not limited to,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and regulations as well as transparency laws and regulations with respect to drug pricing and payments and other transfers of value made to healthcare professionals, which are described below.</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 to determine whether one purpose of an arrangement involving remuneration is to induce referrals of federal healthcare-covered business. In addition,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Federal Civil False Claims Act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FCA has been used to assert liability on the basis of kickbacks and other improper referrals, improperly reported government pricing metrics such as Best Price or Average Manufacturer Price, or submission of inaccurate information required by government contracts,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FCA lawsuits against pharmaceutical companies have increased significantly in volume and breadth, leading to several substantial civil and criminal settlements. For example, civil FCA liability may be imposed for Medicare or Medicaid overpayments arising out of claims that were filed by providers but alleged to have been caused by manufacturers’ incentives, impermissible discounts, or overpayments caused by understated rebate amounts. FCA enforcement may also arise from claims filed as the result of manufacturing marketing materials that contained inaccurate statements or provided certain reimbursement guidance.</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w:t>
      </w:r>
    </w:p>
    <w:p>
      <w:pPr>
        <w:spacing w:after="0" w:line="1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payer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In addition, similar to the Anti-Kickback Statute, a person or entity does not need to have actual knowledge of the statute or specific intent to violate it in order to have committed a violation.</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 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exclusion statute requires the exclusion of entities and individuals who have been convicted of federal- program related crimes or health care felony fraud or controlled substance charges. The statute also permits the exclusion of those that have been convicted of any form of fraud, the anti-kickback statute, for obstructing an investigation or audit, misdemeanor controlled substance charges, those whose health care license has been revoked or suspended, and those who have filed claims for excessive charges or unnecessary services. If a company were to be excluded, its products would be ineligible for coverage and reimbursement from any federal programs, including Medicare and Medicaid, and no other entity participating in those programs would be permitted to enter into contracts with the manufacturer.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manufacturer from engaging those individuals, which could adversely affect operations, and could result in significant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and applicable manufacturers and applicable group purchasing organizations to report annually to CMS ownership and investment interests held by physicians and their immediate family members.</w:t>
      </w:r>
    </w:p>
    <w:p>
      <w:pPr>
        <w:spacing w:after="0" w:line="212"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Many states have also adopted laws similar to each of the above federal laws, which may be broader in scope and apply to items or services reimbursed by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 including commercial insurers, and some have transparency laws that require reporting price increases and related information.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certain business activities could be subject to challenge under one or more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Violation of any of the laws or regulations described above or any other applicable laws include significant penalties and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211"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requirements, including safety surveillance,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fraud and abuse laws, and implementation of corporate compliance programs and reporting of payments or transfers of value to healthcare professionals.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Government and other third-party payors are increasingly challenging the prices charged for health care products, examining the cost-effectiveness of new products, in addition to their safety and efficacy, and limiting or attempting to limit both coverage and the level of reimbursement. Further, no uniform policy requirement for coverage and reimbursement exists among third-party payors in the U.S., which causes significant uncertainty related to the insurance coverage and reimbursement of newly approved products. Therefore, coverage and reimbursement can differ significantly from payor to payor and health care provider to health care provider. As a result, the coverage determination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process is often time-consuming and costly and may require the provision of scientific and clinical support for the use of new products to each payor separately, with no assurance that coverage and adequate reimbursement will be applied consistently or obtained in the first instance.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There may also be significant delays in obtaining coverage and reimbursement for newly approved products, and coverage may be more limited than the purposes for which the product is approved by the FDA. Moreover, eligibility for coverage and reimbursement does not imply that a product will be paid for in all cases or at a rate which the health care providers who purchase those products will find cost-effective. We expect pricing pressures in connection with the sale of any of our drug candidates due to the trend toward managed healthcare, the increasing influence of health maintenance organizations, and additional legislative changes.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drug candidate for which we obtain marketing approval. If coverage and reimbursement are not available or reimbursement is available only to limited levels, we may not successfully commercialize any drug candidate for which we obtain marketing approval.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U.S. and some foreign jurisdictions are considering or have enacted a number of legislative and regulatory proposals designed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 expanding access. In the U.S., the pharmaceutical industry has been a particular focus of these efforts and has been significantly affected by major legislative initiatives.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For example, in March 2010, the ACA was enacted in the U.S.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outpatient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U.S. since the ACA was enacted. These changes included an aggregate reduction in Medicare payments to providers, which went into effect on April 1, 2013 and will remain in effect through 2032, unless additional Congressional action is taken. In addition, the American Taxpayer Relief Act of 2012, which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cap on manufacturers’ Medicaid drug rebate liability, beginning January 1, 2024. The rebate was previously capped at 100% of a drug’s average manufacturer's price.</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(the IRA) into law.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2024); and replaces the Medicare Part D coverage gap discount program with a new discounting program (beginning in 2025). CMS has published the negotiated prices for the initial ten drugs, which went into effect in January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issued guidance, and is expected to continue to issue guidance, even while multiple lawsuits challenging the IRA drug price negotiation requirement remain pending. The impact of the IRA on the pharmaceutical industry and our business cannot yet be fully determined but is likely to be significant. However, because our anticipated patient demographic for our product candidates, if approved, is unlikely to include a significant number of Medicare beneficiaries, we do not expect that the IRA will directly impact our ability to commercialize our drug candidates.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current administration is also pursuing a two-fold strategy to reduce drug costs in the U.S. On the one hand, the current U.S. President threatened to impose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Subsequently, in April 2026, the current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 On the other hand, the current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impact the U.S. pharmaceutical sector and potentially our business. Moreover, pharmaceutical pricing and marketing has long been the subject of considerable discussion in Congress and among policymakers, and it is possible that Congress could enact additional laws that further affect the pharmaceutical industry.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At the state level, individual states in the U.S.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third-party payors also require pre-approval of coverage for new or innovative devices or therapies before they will reimburse healthcare providers that use such therapies.</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expect that these initiatives, as well as other healthcare reform measures that may be adopted in the future, as well as the trend toward managed healthcare and increasing influence of managed care organizations,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current and future cost containment measures or other healthcare reforms may adversely affect our operations and prevent us from being able to generate revenue, attain profitability or commercialize our drug candidates.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has been applied to the marketing of drugs and the conduct of clinical trials outside the U.S. The FCPA also obligates companies whose securities are listed in the U.S.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U.S., can result in criminal and civil fines, imprisonment, disgorgement, oversight, and debarment from government contracts.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Regulation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Numerous state and federal laws, regulations and standards govern the collection, use, access to, confidentiality and security of health-related and other personal information, and could apply now or in the future to our operations or the operations of our partners. Such laws and regulations include data breach notification laws, health information privacy and security laws and consumer protection laws.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the extent we choose to develop or sell any products outside of the U.S., we will be subject to a variety of foreign regulatory requirements of other countries regarding safety and efficacy and governing, among other things, the collection and use of health-related and other personal information, clinical trials, marketing authorization, commercial sales, and distribution of our products. For example, in the European Union (EU) we must obtain authorization of a clinical trial application in each member state in which we intend to conduct a clinical trial. In addition, certain foreign laws govern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privacy and security of personal data, including health-related data and clinical trial data. Whether or not we obtain U.S.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U.S.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regulatory requirements, such as those regarding product manufacture, marketing, or distribution, would apply to any product that is approved outside the 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and Employees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people are one of our greatest assets. With colleagues who can contribute unique viewpoints and diverse perspectives to all aspects of the business, we believe that our culture can be more collaborative, more accepting of difference and more prepared for overall success as we seek to develop groundbreaking therapies for psychiatric and neurological disorders.</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of March 31, 2026, we employed 41 full-time employees; 30 full-time employees work in research and development and laboratory support services, and 11 full-time employees work in management, corporate development and communications, legal, human resources, and other general and administrative roles. Staffing for other functional areas is achieved through our broad and diverse network of strategic relationships with multiple CROs, CDMOs, and other third-party service providers and consultants. These service providers and consultants provide us with support services on a flexible, real-time, as-needed basis, including services related to, among others, payroll, information technology, legal, investor and public relations, manufacturing, product development, regulatory affairs and FDA program management to complement our internal resources in these areas.</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March 5, 2026, our Board of Directors approved a reduction of approximately 20% in our workforce. The reduction was implemented to provide disciplined cash management while prioritizing efficient execution of the ongoing clinical studies in our PALISADE Program for fasedienol for the acute treatment of SAD. In connection with the workforce reduction, affected employees were offered cash severance and temporary healthcare coverage subject to their eligibility for and election of such coverage and their execution of an effective separation agreement, including a general release of claims against the Company. Costs incurred in connection with the workforce reduction were not material to our consolidated financial statements for the fiscal year ended March 31, 2026. We continue to rely on our network of third-party service providers and consultants to supplement our internal capabilities following the workforce reduction.</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the workforce reduction, in April 2026 our Compensation Committee approved retention stock option awards to all of our remaining employees, including our executive officer, under our Amended and Restated 2019 Omnibus Equity Incentive Plan. The awards are subject to time-based vesting over a two-year period. The retention awards are intended to support employee retention and align employee incentives with the achievement of our clinical and strategic objectives.</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had a work stoppage, and none of our employees is represented by a labor organization or under any collective bargaining agreement. We consider our employee relations to be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file reports and other information with the U.S. Securities and Exchange Commission (SEC), as required by the Securities Exchange Act of 1934, as amended (Exchange Act). We make available free of charge through our website (</w:t>
      </w:r>
      <w:r>
        <w:rPr>
          <w:rFonts w:ascii="Times New Roman" w:cs="Times New Roman" w:eastAsia="Times New Roman" w:hAnsi="Times New Roman"/>
          <w:sz w:val="18"/>
          <w:szCs w:val="18"/>
          <w:u w:val="single" w:color="auto"/>
          <w:color w:val="auto"/>
        </w:rPr>
        <w:t>http://www.vistagen.com</w:t>
      </w:r>
      <w:r>
        <w:rPr>
          <w:rFonts w:ascii="Times New Roman" w:cs="Times New Roman" w:eastAsia="Times New Roman" w:hAnsi="Times New Roman"/>
          <w:sz w:val="18"/>
          <w:szCs w:val="18"/>
          <w:color w:val="auto"/>
        </w:rPr>
        <w:t>) our annual reports on Form 10-K, quarterly reports on Form 10-Q, current reports on Form 8-K and any amendments to those reports filed or furnished pursuant to Sections 13(a) and 15(d) of the Exchange Act. We make these reports available through our website as soon as reasonably practicable after we electronically file such reports with, or furnish such reports to, the SEC.</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regularly use our website to post information regarding our business, product development programs and governance, and we encourage investors to use our website, particularly the information in the section entitled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as a source of information about us. The foregoing references to our website are not intended to, nor shall they be deemed to, incorporate information on our website into this Annual Report on Form 10-K by reference.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the other information in this Annual Report, including our Consolidated Financial Statements and the related notes included in this Annual Report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elsewhere in this Report and described below are not intended to be exhaustive and are not the only ones we face. Additional risks and uncertainties not presently known to us, or that we currently deem immaterial, may also impair our business operations. This Report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203" w:lineRule="exact"/>
        <w:rPr>
          <w:sz w:val="20"/>
          <w:szCs w:val="20"/>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financing to execute our long-term business plan, including further development and commercialization of our pherine product candidates, and to continue to operate as a going concern;</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no approved products or revenues from product sales, and limited experience developing and commercializing new product candidates, which makes it difficult to assess our future viability;</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we will continue to incur substantial operating losses for the foreseeable future;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regain compliance with the continued listing requirements of the Nasdaq Capital Market, our common stock may be delisted and the price of our common stock and our ability to access the capital markets could be negatively impacted;</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fasedienol and, to a lesser extent, our other pherine product candidates, and we cannot be certain that ongoing clinical trials, including PALISADE-4, will produce successful results or that we will be able to obtain regulatory approval for fasedienol or any of our current or future product candidates;</w:t>
      </w:r>
    </w:p>
    <w:p>
      <w:pPr>
        <w:spacing w:after="0" w:line="190"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ongoing or future nonclinical or clinical trials of our product candidates, such as our PALISADE-1 and PALISADE-3 clinical trials, or material delays in the completion and/or commencement of our ongoing or planned nonclinical or clinical trials, could result in increased costs to us and could delay, prevent or limit our ability to generate revenue and continue our business;</w:t>
      </w:r>
    </w:p>
    <w:p>
      <w:pPr>
        <w:spacing w:after="0" w:line="2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focused on novel neuroscience drug development, a field that has seen very limited success. The ability to successfully develop product candidates in this field is extremely difficult and is subject to a number of unique challenges;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nonclinical studies and/or clinical trials in any of our product candidate development programs, including the PALISADE Program, may not be sufficient to cause the FDA to approve any NDA that we may submit, or cause any other agency to provide regulatory approval of any of our product candidates, and, even if approved, does not ensure acceptance of such product candidates by clinicians leading to a revenue stream to support our operations;</w:t>
      </w:r>
    </w:p>
    <w:p>
      <w:pPr>
        <w:spacing w:after="0" w:line="2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or attract key management and scientific personnel, or effectively manage the impact of our recent workforce reduction, we may be unable to successfully produce, develop, and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party collaborators to assist in conducting our nonclinical studies and clinical trials and if they do not perform satisfactorily, we may not be able to obtain regulatory approval or commercialize our product candidates, or such approval or commercialization may be delayed, and our business could be substantially harmed;</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in equity-based financing transactions will cause substantial dilution to our existing stockholders, may restrict our operations or require us to relinquish rights to our product candidates, and may require us to seek stockholder approval to authorize additional shares of our common stock;</w:t>
      </w:r>
    </w:p>
    <w:p>
      <w:pPr>
        <w:spacing w:after="0" w:line="203"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highly competitive and rapidly changing industries, which may result in others discovering, developing or commercializing competing products before or more successfully than we do;</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and clinical drug development is a lengthy and expensive process, with an uncertain outcome. 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and product candidates,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staffing, large staff turnover, changes to key personnel on applicable regulatory review teams and/or inadequate funding for the FDA or other government agencies, including those resulting from reduced staffing levels, could hinder those agencies from performing normal business functions on which the operation of our business may rely, which could negatively impact our business; and</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below.</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are unable to effectively manage the impact of these and other risks, our ability to operate and execute our strategic business plan would be substantially impaired. In turn, the value of our securities would be materially reduced.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successful development of pharmaceutical products is highly uncertain.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development of pharmaceutical products is highly uncertain and is dependent on numerous factors, many of which are beyond our control.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that appear promising in the early phases of development may fail to reach the market for several reasons, including:</w:t>
      </w:r>
    </w:p>
    <w:p>
      <w:pPr>
        <w:spacing w:after="0" w:line="21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enrollment and completion of any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show the product candidates to be less effective than expected (for example, a clinical trial could fail to meet its primary or key secondary endpoint(s)) or have an unacceptable safety or tolerability profile;</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non-U.S. regulatory authorities may find the chemistry, manufacturing and controls, or (CMC) data insufficient to support the quality of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results may show the product candidate to be less effective than desired or to have harmful side effects;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review of IND, NDA or similar foreign applications, preparation, discussions with the FDA or foreign regulatory authorities, an FDA or foreign regulatory authority request for additional preclinical or clinical data (such as long-term toxicology studies) or unexpected safety or manufacturing issues;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approval requirements; or</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our product candidates from being commercialized.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and similar foreign requirements, and good clinical practices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and results of operations.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fasedienol and, to a lesser extent, our other product candidates. If we are unable to successfully complete clinical development, obtain regulatory approval for or commercialize fasedienol or one or more of our other product candidates, or if we experience delays in doing so, our business will be materially harmed.</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of our product candidates, including fasedienol, our most advanced product candidate. Our future success and ability to generate revenue from fasedienol or any of our other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encounters safety or efficacy problems, development delays or regulatory issues or other problems, our development plans and business would be materially harmed.</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 We do not have the financial resources to continue development of our product candidates other than fasedienol, or capital required to commercialize any of our product candidates. Moreover, we may experience issues that delay or prevent regulatory approval of, or our ability to commercialize, our product candidates, including:</w:t>
      </w:r>
    </w:p>
    <w:p>
      <w:pPr>
        <w:spacing w:after="0" w:line="198" w:lineRule="exact"/>
        <w:rPr>
          <w:sz w:val="20"/>
          <w:szCs w:val="20"/>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preclinical studies, clinical trials or the clinical trials of others for product candidates similar to ours, leading to a decision or requirement to conduct additional preclinical studies, clinical trials or abandon a program;</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preclinical studies, clinical trials and regulatory submissions or necessary to fund pre-commercial and commercial activities to establish sales, marketing and distribution capabilities needed to successfully commercialize an approved product;</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observed during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than expected performance of control arms, such as placebo groups, which could lead to negative or inconclusive results from our clinical trials;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and randomizing subjects in our clinical trials;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candidates or other materials necessary for the conduct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manufacturing costs;</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adverse events experienced by subjects in our clinical trials, including unexpected toxicity results, or by individuals using drugs or therapeutic biologics similar to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an IND, comparable foreign applications or delays or failure in obtaining the necessary approvals or allowances from regulators to commence a clinical trial or a suspension or termination, or hold, of a clinical trial once commenced;</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comparable foreign regulatory authorities that our product candidates are safe and effective;</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regulatory authorities regarding the scope or design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comparable regulatory authority inspection and review of our clinical trial sites;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the clinical trial protocol or otherwise meet their contractual obligations in a timely manner, or at all;</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including the imposition of additional regulatory oversight around clinical testing generally or with respect to our therapies in particular; or</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comparable foreign regulatory authorities.</w:t>
      </w:r>
    </w:p>
    <w:p>
      <w:pPr>
        <w:spacing w:after="0" w:line="2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no recurring revenues from product sales or approved products. We are not profitable and have incurred losses in each period since our inception. We expect to continue to incur significant losses for the foreseeable future, and we expect these losses to increase as we continue our research and development of, and seek regulatory approvals for, and commercialization of our product candidates.</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clinical-stage biopharmaceutical company. We have no products approved for commercial sale and have generated no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$69.7 million and $51.4 million for the years ended March 31, 2026 and 2025, respectively. We expect to continue to incur significant losses for the foreseeable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in the event we:</w:t>
      </w:r>
    </w:p>
    <w:p>
      <w:pPr>
        <w:spacing w:after="0" w:line="23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clinical development, including as we advance these candidates into and through later-stage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commercialization-related activities;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preclinical-stage product candidates into clinical development;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seek to expand our intellectual property portfolio.</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high costs, uncertainties, delays and difficulties frequently encountered by companies in clinical development, especially small clinical-stage biopharmaceutical companies such as ours. Any predictions you make about our future success or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FDA or other regulatory authorities to perform preclinical studies or clinical trials in addition to those that we currently anticipate, or if there are any delays in establishing appropriate manufacturing arrangements for or in completing our clinical trials or the development of any of our product candidates.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or execute other business development arrangements. We do not expect to generate significant revenue, if any, unless and until we are able to obtain regulatory approval for, and successfully commercialize, one or more product candidates we are developing or may develop. Successful commercialization will require achievement of many key milestones, including demonstrating sufficient evidence of safety and efficacy in clinical trials, obtaining regulatory approval for these product candidates, manufacturing, marketing and selling those products for which we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do, we may never generate revenues that are significant enough for us to achieve profitability. Even if we do achieve profitability, we may not be able to sustain or increase profitability on a quarterly or annual basis.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failure to become and remain profitable may depress the market price of our common stock and could impair our ability to raise capital, expand our business, diversify our product offerings or continue our operations. If we continue to incur losses as we have since our inception, investors may not receive any return on their investment and may lose their entire investment.</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capital to execute our business plan, and if we are unable to raise capital when needed, we could be forced to delay, reduce or terminate our research and development programs, personnel, pre-commercialization or commercialization efforts.</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As in prior periods we expect to continue to spend substantial amounts of cash to continue the preclinical and clinical development of our product candidates. These expenditures will include costs associated with general and administrative costs, facilities costs, research and development, manufacturing, conducting nonclinical experiments and clinical trials, obtaining regulatory approvals and commercialization, should the FDA approve any of our product candidates for sale. We will need to raise substantial additional capital to complete certain of our currently planned preclinical and clinical development programs, including future late-stage clinical trials. If we are able to gain marketing approval for any product candidates that we develop, we will require significant amounts of additional capital in order to prepare to launch and commercialize such product candidates. As the outcome of our ongoing research and development activities, including the outcome of future anticipated preclinical studies and clinical trials, is highly uncertain, we cannot reasonably estimate the actual amounts of additional capital necessary to successfully complete the development and commercialization, alone or with one or more collaborators, of any product candidate we develop. We do not expect to generate sustainable positive operating cash flows until, and unless, we obtain approval from the FDA and other regulatory authorities and successfully commercialize one or more of our product candidates alone or with one or more collaborators,.</w:t>
      </w:r>
    </w:p>
    <w:p>
      <w:pPr>
        <w:spacing w:after="0" w:line="2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a result of these and other factors, we will need to seek additional capital to fund our future operations, operating plans and requirements, including capital necessary to develop, obtain regulatory approval for, and commercialize our product candidates, alone or with one or more collaborators, and may seek additional capital in the event there exists favorable market conditions or strategic considerations, even if we believe we have sufficient funds for our current operations or future operating plans and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need for additional funding depends on many factors, including:</w:t>
      </w:r>
    </w:p>
    <w:p>
      <w:pPr>
        <w:spacing w:after="0" w:line="23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we pursue and their development requirements;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developing and commercializing our product candidates, alone or with one or more collaborators, and any other additional product candidates we may develop and pursue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our product candidates and any other additional product candidates we may develop and pursue in the future;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revenue, if any, received from commercial sales of our product candidates or any other additional product candidates we may develop and pursue in the future;</w:t>
      </w:r>
    </w:p>
    <w:p>
      <w:pPr>
        <w:spacing w:after="0" w:line="175"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formulating and manufacturing our product candidates, and our reliance on third-party contract development and manufacturing organizations (CDMOs) to do so;</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and maintain strategic partnerships, licensing or other collaborative arrangements necessary for the development and commercialization of our product candidates, on favorable financial terms, if at all;</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regulatory approval, market acceptance of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if we expand our research and development, market development, pre-commercial and commercialization activities;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and 2025, the Company had cash, cash equivalents, and marketable securities of $45.4 million and $80.5 million. As of June 15, 2026, the issuance date of the consolidated financial statements as of and for the year ended March 31, 2026, there is uncertainty about whether the Company’s combined cash, cash equivalents, and marketable securities will be sufficient to fund operations beyond twelve months from the issuance date of these consolidated financial statements and therefore the Company concluded that substantial doubt existed about the Company’s ability to continue as a going concern.</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terms of any future financing may adversely affect the holdings or the rights of our stockholders and the issuance of additional securities, whether equity or debt, by us, or the possibility of such issuance, may cause the market price of our shares to decline. For example,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When necessary, including if we are unable to obtain additional funding on a timely basis and on acceptable terms, we may be required to significantly curtail, delay or terminate one or more of our research or product development programs or be unable to continue our current level of operations or otherwise capitalize on our business opportunities, as desired, which could materially affect our business, financial condition and results of operations.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our neuroscience pipeline includes five clinical-stage intranasal pherine product candidates and AV-101. We seek to maintain a process of prioritization and optimal capital allocation to maintain an appropriate balance between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development of our most advanced product candidates and indications and ensuring the development of additional potential product candidates and indications, on our own or with strategic collaborators.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and commercialization of our pharmaceutical product candidates, we must decide which of our product candidates and indications to pursue and advance, as well as the amount of resources to allocate to each, if any.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psychiatric, neurological and women's health conditions and disorders,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conditions or disorders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from our workforce reduction and we may incur additional costs implementing it or other difficulties.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2026, we implemented a workforce reduction. The objective of the reduction was to provide for disciplined cash management while prioritizing efficient execution of ongoing placebo-controlled clinical trials and real-world open label clinical studies in our PALISADE Program for fasedienol, including, but not limited to, PALISADE-4 and the Repeat Dose Study.</w:t>
      </w:r>
    </w:p>
    <w:p>
      <w:pPr>
        <w:spacing w:after="0" w:line="20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However, the reduction in workforce may yield unintended consequences and costs, such as the loss of institutional knowledge and expertise, attrition beyond our intended workforce reduction, a reduction in morale among our remaining employees, and the risk that we may not achieve the anticipated benefits, all of which may have an adverse effect on our development activities, ability to progress our product candidate development, and results of operations or financial condition.</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also incur other charges, costs, future cash expenditures or impairments not currently contemplated due to events that may occur as a result of, or in connection with, workforce reduction. In addition, we may be unsuccessful in distributing the duties and obligations of departed employees among our remaining employees.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may also discover that the workforce reduction and cost cutting measures will make it difficult for us to pursue new opportunities and initiatives and require us to hire qualified replacement personnel, which may require us to incur additional and unanticipated costs and expenses. Our failure to successfully accomplish any of the above activities and goals may have a negative impact on our business, financial condition, results of operations and growth prospects.</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substantial dilution to our stockholders, restrict our operations or require us to relinquish significant rights to our technologies or product candidates.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common stock, convertible securities or other equity securities, the ownership interest of our stockholders may be substantially diluted, and the terms of these securities could include liquidation or other preferences and anti-dilution protections that could adversely affect the rights of our common stockholders. In addition, royalty-based financing or debt financing, if available, may result in our relinquishing significant rights to potentially valuable future revenue streams or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team and may divert a disproportionate amount of our attention away from day-to-day activities, which may adversely affect our management team’s ability to oversee the development and commercialization of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If we raise additional capital through collaborations, strategic alliances or marketing, distribution or licensing arrangements, or royalty-based financings with third parties, we may have to relinquish potentially valuable rights to our technologies, future revenue streams, research programs or product candidates, or grant licenses on terms that may not be favorable to us. If we are unable to raise additional capital when needed, we may be required to delay, limit, reduce or terminate our research, product development or future commercialization efforts, grant rights to develop and market product candidates that we would otherwise prefer to develop and market ourselves, obtain capital through arrangement with collaborators on terms unfavorable to us or pursue other strategies, all of which could adversely affect the holdings or the rights of our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time-consuming and inherently unpredictable, and if we are ultimately unable to obtain regulatory approval for our product candidates, our business will be substantially harmed.</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and such factors may vary among jurisdictions. For instance, jurisdictions outside of the U.S., such as China, the European Union (EU) or Japan, may have different requirements for regulatory approval of a product candidate, which may require us to conduct additional clinical, nonclinical or chemistry, manufacturing and control studies. In addition, approval policies, regulations, or the type and amount of clinical data necessary to gain approval may change during the course of a product candidate’s clinical development. For example, certain early-stage clinical trials of our pherine product candidates were conducted outside of the U.S. Clinical trials conducted in one country may not be accepted by regulatory authorities in other countries, and regulatory approval in one country does not guarantee regulatory approval in any other country. Although the FDA may accept data from clinical trials conducted outside the U.S., acceptance of these data is subject to conditions imposed by the FDA, and there can be no assurance that the FDA will accept data from trials conducted outside of the U.S. If the FDA does not accept the data from any trial that we conduct outside the U.S., it would likely result in the need for additional trials, which would be costly and time-consuming. Moreover, to date, we have not submitted a NDA to the FDA or similar drug approval submissions to comparable foreign regulatory authorities for any product candidate. We must complete required nonclinical studies and clinical trials to demonstrate the safety and efficacy of our product candidates in humans before we will be able to seek or obtain any regulatory approval.</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Nonclinical studies and clinical trials are expensive, difficult to design and implement, can take many years to complete. All nonclinical studies and clinical trials are inherently uncertain as to outcome. We cannot guarantee that any nonclinical studies or clinical trials will be conducted as planned, completed on schedule, if at all, or, if completed, be successful. The clinical development of our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throughout the required phase of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approval and acceptance of the product candidate at issue.</w:t>
      </w:r>
    </w:p>
    <w:p>
      <w:pPr>
        <w:spacing w:after="0" w:line="2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lengthy regulatory approval process, as well as the unpredictability of nonclinical study and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regulatory approval process and determining when or whether regulatory approval will be granted for any product candidate that we develop. Even if we believe the data collected from completed or future clinical trials of our product candidates are promising, such data may not be sufficient to support regulatory approval by the FDA or any other regulatory authority.</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even if we were to obtain regulatory approval of our product candidate, regulatory authorities may approve any of our product candidates for fewer or more limited indications than we request, may not approve the price we intend to charge, may grant approval contingent on the performance of costly post-marketing clinical trials or may approve a product candidate with a label that does not include the labeling claims necessary or desirable for the successful commercialization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that product candidate. Any of the foregoing scenarios could materially harm the commercial prospects for our product candidates.</w:t>
      </w:r>
    </w:p>
    <w:p>
      <w:pPr>
        <w:spacing w:after="0" w:line="2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or comparable foreign regulatory authorities may disagree with our regulatory plan for the development and potential approval of our product candidates.</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order to obtain FDA approval of our product candidates, we must, among other things, demonstrate substantial evidence of the effectiveness of such product candidates. FDA has generally considered this demonstration of substantial evidence of the effectiveness to require data gathered from at least two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or provide feedback to suggest that we conduct additional nonclinical studies or clinical trials prior to granting any regulatory approval. In addition, there is no assurance that the doses, dosing strategy, endpoints and trial designs that we use for our clinical trials, including trials developed based on feedback from the FDA or other regulatory agencies or those that have been used for the approval of similar drugs, will be acceptable for future approvals. For example, while we have designed the Phase 3 public speaking challenge studies in our U.S. registration-directed PALISADE Program for fasedienol for the acute treatment of SAD using a public speaking challenge with SUDS as the primary efficacy endpoint based on FDA communications, the FDA has also communicated that additional studies or data are needed to support approval. For example, the Repeat Dose Study was designed to incorporate FDA feedback to evaluate the effect of repeat dosing of fasedienol, potential dosing interval for repeat dose, as well as potential dose response and duration of effect, but the FDA may ultimately determine that the study or its results are not adequate to support approval. Moreover, we plan to generate additional evidence recommended by the FDA to further characterize the clinical meaningfulness of the duration and magnitude of effect of fasedienol, but there can be no assurance that the design of our completed, ongoing and/or planned clinical trials or other activities to address FDA feedback on the development program will be satisfactory to the FDA or that the FDA will not require us to modify our trials or conduct additional clinical trials, generate additional information, or that completing these trials and other activities will result in regulatory approval, particularly given that the FDA has not granted regulatory approval to a drug on the basis of SUDS as a primary efficacy endpoint. Even if our ongoing and/or future clinical trials achieve their primary efficacy endpoint, there can be no assurance that the FDA will find them sufficient to support approval. Moreover, there are limited precedents for trial design, trial endpoints and regulatory pathway for the acute treatment of SAD and certain other therapeutic indications we are pursuing through the development of our product candidates, including fasedienol for the acute treatment of SAD, itruvone for the treatment of MDD and refisolone for the management of VMS (hot flashes) due to menopause, which may make clinical development and regulatory approval for those product candidates more challenging.</w:t>
      </w:r>
    </w:p>
    <w:p>
      <w:pPr>
        <w:spacing w:after="0" w:line="2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clinical trial results may not support approval of our product candidates. In addition, our product candidates could fail to receive regulatory approval, or regulatory approval could be delayed, for many reasons, including the following:</w:t>
      </w:r>
    </w:p>
    <w:p>
      <w:pPr>
        <w:spacing w:after="0" w:line="175" w:lineRule="exact"/>
        <w:rPr>
          <w:sz w:val="20"/>
          <w:szCs w:val="20"/>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as to the design or implementation of our clinical trials, including with respect to the dosing regime utilized in a particular trial or the statistical analysis plan used to analyze trial data;</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file or accept our NDA or marketing application for substantive review;</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non-U.S. regulatory authorities may find the chemistry, manufacturing and controls, or data insufficient to support the quality of our product candidates;</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foreign regulatory authorities for approval;</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our nonclinical studies or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NDA or other comparable submission in foreign jurisdictions or to obtain regulatory approval in the U.S. or elsewhere;</w:t>
      </w:r>
    </w:p>
    <w:p>
      <w:pPr>
        <w:spacing w:after="0" w:line="21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having accurately generated, collected, interpreted and reported data from certain preclinical studies and clinical trials that were previously conducted for our product candidates.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acquired our pherine product candidates from Pherin Pharmaceuticals, Inc. (Pherin), now our wholly-owned subsidiary, and Pherin undertook research and development of such product candidates prior to our acquisitions. We had no involvement with or control over the preclinical and clinical development of our pherine product candidates prior to acquiring or licensing them from Pherin. Therefore, we are dependent, in part, on Pherin’s prior research and development efforts in accordance with the applicable protocols, legal and regulatory requirements, and scientific standards utilized by them; having accurately reported the results of all preclinical studies and clinical trials conducted with respect to such product candidates and having correctly collected and interpreted the data from these studies and trials. These risks also apply to any product candidates that we may acquire or in-license in the future, if any. If these activities were not compliant, accurate or correct, the clinical development, regulatory approval or commercialization of our pherine product candidates will be adversely affected.</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fail to replicate results from earlier preclinical studies or clinical trials conducted by us or third parties, we may be unable to successfully develop, obtain regulatory approval for or commercialize our product candidates.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results observed from earlier preclinical studies or early-stage clinical trials of our product candidates, including positive results, may not necessarily be predictive of the results of ongoing or future clinical trials. Furthermore, our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Moreover, there is a high failure rate for drugs candidate proceeding through clinical trials and there can be no assurance that any of our clinical trials will ultimately be successful. We, and many other companies in the pharmaceutical and biotechnology industries, have suffered significant setbacks in late-stage clinical trials after achieving positive results in earlier-stage development, such as the failure of our PALISADE-1 and PALISADE-3 Phase 3 clinical trials of fasedienol to meet its primary or secondary endpoints, and we cannot be certain that we will not face similar setbacks in the future. In addition to the risk of ongoing or planned clinical trials failing to meet primary endpoints, setbacks may also be caused by, among other things, preclinical findings made while clinical trials were underway or safety or efficacy observations made in preclinical studies and clinical trials, including previously unreported adverse events. Such failures or setback may have a material adverse effect on our ability to develop, obtain regulatory approval for or ultimately commercialize any of our product candidates.</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material delays in completing, or ultimately be unable to complete, the contract manufacturing, nonclinical and clinical development and commercialization of our product candidates.</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obtain regulatory approvals to commercialize any of our product candidates, we must demonstrate through extensive nonclinical studies and clinical trials that our product candidates are safe and effective in humans. We have experienced, and may further experience delays in completing our contract manufacturing, clinical trials or nonclinical studies and initiating or completing additional clinical trials or nonclinical studies, including as a result of regulators not allowing or delay in allowing clinical trials to proceed under an IND or similar approval we need to initiate a clinical trial. We may also experience numerous unforeseen events during our clinical trials that could delay or prevent our ability to receive regulatory approval or commercialize the product candidates we develop, including:</w:t>
      </w:r>
    </w:p>
    <w:p>
      <w:pPr>
        <w:spacing w:after="0" w:line="222" w:lineRule="exact"/>
        <w:rPr>
          <w:sz w:val="20"/>
          <w:szCs w:val="20"/>
          <w:color w:val="auto"/>
        </w:rPr>
      </w:pPr>
    </w:p>
    <w:p>
      <w:pPr>
        <w:ind w:left="660" w:right="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 (IRBs), or other reviewing bodies such as ethics committees may not authorize us or our investigators to commence a clinical trial, or to conduct or continue a clinical trial at a prospective or specific trial site;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CROs and clinical trial sites, the terms of which can be subject to extensive negotiation and may vary significantly among different CROs and clinical trial sites;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further challenges or delays in recruiting principal investigators or clinical trial sites to lead our clinical trials;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our product candidates may be larger than we anticipate, enrollment in these clinical trials may be insufficient or materially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20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CDMOs, CROs, clinical research sites or other third-parties acting on our behalf or in connection with our nonclinical studies and clinical trials, may fail to comply with regulatory requirements or meet their contractual obligations to us in a timely manner, or at all;</w:t>
      </w:r>
    </w:p>
    <w:p>
      <w:pPr>
        <w:spacing w:after="0" w:line="19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20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clinically meaningful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efficacy and safety results adequate to obtain regulatory approval to market our product candidates for the indications that we are pursuing. If later-stage clinical trials do not produce favorable results, our ability to obtain regulatory approval for and commercialize our product candidates will be adversely impacted.</w:t>
      </w: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failure to successfully initiate and complete required nonclinical studies and clinical trials and to demonstrate the efficacy and safety necessary to obtain regulatory approval to market our product candidates would significantly harm our business. Our product candidate development costs will also increase substantially if we experience delays in testing or regulatory approvals and we may be required to obtain additional funds to complete necessary nonclinical studies or clinical trials. We cannot assure you that our nonclinical studies or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nonclinical studies or clinical trials may ultimately lead to the denial of regulatory approval of our product candidates.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clinical development activities could be materially delayed or otherwise adversely affected by difficulties enrolling and randomizing patients in our clinical trials.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experienced, and may continue to experience, difficulties in patient enrollment and randomization in our clinical trials for a variety of reasons, including the stringent entry eligibility criteria for our clinical trials. The timely completion of clinical trials requiring rigorous adherence to clinical trial protocols depends, among other things, on our ability to enroll and randomize a sufficient number of patients who qualify for and remain in the trial until its conclusion.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and randomization in a clinical trial is affected by many factors, including:</w:t>
      </w:r>
    </w:p>
    <w:p>
      <w:pPr>
        <w:spacing w:after="0" w:line="23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 for such clinical trial;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efficacy endpoints;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 in such clinical trial;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train and retain clinical trial investigators and clinical research site staff with the appropriate competencies and experience through the duration of the trial;</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any drugs that may be approved for the indications that we are investigating;</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or referral practices of centralized recruiting firms, clinical trial sites and physicians;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in the trial;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before completion.</w:t>
      </w:r>
    </w:p>
    <w:p>
      <w:pPr>
        <w:spacing w:after="0" w:line="2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may also experience challenges in recruiting principal investigators and patients to participate in ongoing and future clinical trials for our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to participate in our clinical trials at such clinical trial site. Furthermore, if significant adverse events or other side effects are observed in any of our clinical trials that are related to or deemed to be caused by any of our product candidates, we may have difficulty recruiting patients to our trials and patients may drop out of our trials. Finally, business disruptions, including those relating to natural disasters (including as a result of climate change), geopolitical incidents, pandemics or macroeconomic conditions, may disrupt our clinical trials.</w:t>
      </w: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inability to enroll and randomize a sufficient number of patients for our clinical trials would result in significant delays or might require us to abandon one or more clinical trials or our development efforts altogether. Material delays in patient enrollment and randomization may result in increased costs, affect the timing or outcome of ongoing or planned clinical trials and the public disclosure of trial results, product candidate development and regulatory approval process and jeopardize our ability to raise additional capital and seek and obtain the regulatory approval required to commence product sales and generate revenue, which could prevent completion of these trials, adversely affect our ability to advance the development of our product candidates, cause the value of the Company to decline and limit our ability to obtain additional financing if needed.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product candidates proceed through preclinical studies and clinical trials towards potential regulatory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or comparable foreign regulatory authorities' notification or approval. This could delay or prevent completion of clinical development, require conducting bridging clinical trials or the repetition of one or more clinical trials, increase clinical development costs, delay or prevent regulatory approval of our product candidates and jeopardize our ability to commence sales and generate revenue.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time-consuming and uncertain and may prevent us from obtaining regulatory approvals for the commercialization of our product candidates.</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U.S. and by comparable authorities in other countries. Failure to obtain regulatory approval for a product candidate will prevent us from commercializing the product candidate in a given jurisdiction. We have not received regulatory approval to market any of our product candidates from regulatory authorities in any jurisdiction and it is possible that none of the product candidates we are developing or may seek to develop in the future will ever obtain regulatory approval.</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no experience in submitting and supporting the applications necessary to gain regulatory approvals and expect to rely in large part on third-party CROs and regulatory consultants to augment our internal personnel and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extensive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regulatory approval or prevent or limit commercial use.</w:t>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process of obtaining regulatory approvals to market our product candidates,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regulatory approval policies during the development period, changes in or the enactment of additional statutes or regulations, or changes in regulatory personnel and review processes for each submitted NDA, may cause delays in the approval or rejection of an application. The FDA and comparable authorities in other countries have substantial discretion in the approval process and may refuse to accept any NDA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regulatory approval that we may ultimately obtain could be limited or subject to restrictions or post-approval commitments that render the approved product not commercially viable.</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regulatory approval or if we fail to obtain regulatory approval of any product candidates we may develop, the commercial prospects for those product candidates may be harmed, and our ability to generate revenues will be materially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nonclinical studies or clinical trials that we may announce or publish from time to time may change as more patient data becomes available and are subject to audit and verification procedures that could result in material changes in the final data.</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From time to time, we may publish or publicly disclose interim, topline or preliminary data from our nonclinical studies or clinical trials. These publications or disclosures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Further, disclosure of such data by us or by our competitors could result in volatility in the price of our common stock.</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extensive information, if we publicly disclose certain information, you or others may not agree with what we determine is material or otherwise appropriate information to include in our disclosure, and any information we determine not to disclose may ultimately be deemed significant with respect to future decisions, conclusions, strategies, views, activities or otherwise regarding a particular product candidate or our business.</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development and commercialization of our product candidates may be delayed, and our business and results of operations may be significantly harmed.</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activities or objectives. These milestones may include our expectations regarding the commencement or completion of scientific studies and clinical trials, the submission of regulatory filings, the timing of regulatory meetings, review or approvals, or initiation of commercialization activities or objectives. From time to time, we may publicly announce the expected timing of some of these milestones, such as the completion of an ongoing clinical trial of a product candidate, the initiation of other clinical programs, outcomes of regulatory meetings, receipt of regulatory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and adversely affect our business, including:</w:t>
      </w:r>
    </w:p>
    <w:p>
      <w:pPr>
        <w:spacing w:after="0" w:line="20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collaborators and trial participants;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enroll and randomize patients who meet clinical trial eligibility criteria;</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the FDA and other regulators;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to manufacture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development and commercialization of our product candidates;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development and commercialization of our product candidates may be delayed, and our business and results of operations may be significantly harmed.</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one or more of our current product candidates and we cannot be certain that we will be able to obtain regulatory approval for or commercialize any of our product candidates.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product candidates in the U.S. until we receive FDA approval of an NDA, or in any foreign countries until we receive the requisite approval from such countries. Obtaining FDA approval of a NDA is a complex, lengthy, expensive and uncertain process. The FDA may refuse to permit the submission of our NDA, delay, limit or deny approval of a NDA for many reasons, including, among others:</w:t>
      </w:r>
    </w:p>
    <w:p>
      <w:pPr>
        <w:spacing w:after="0" w:line="196" w:lineRule="exact"/>
        <w:rPr>
          <w:sz w:val="20"/>
          <w:szCs w:val="20"/>
          <w:color w:val="auto"/>
        </w:rPr>
      </w:pPr>
    </w:p>
    <w:p>
      <w:pPr>
        <w:jc w:val="both"/>
        <w:ind w:left="66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9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FDA advisory committee may recommend, or the FDA may require, a Risk Evaluation and Mitigation Strategy (REMS) safety program as a condition of approval or post-approval;</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FDA advisory committee or the FDA or applicable regulatory agency may determine that there is insufficient evidence of effectiveness or safety of our product candidate in an NDA and require additional clinical studies or other information;</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determine that the manufacturing processes or facilities of third-party contract manufacturers with which we contract do not conform to applicable requirements, including cGMPs; or</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commercialize any current or future product candidate we may develop. Any such setback in our pursuit of regulatory approval for any product candidate would have a material adverse effect on our business and prospects.</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all of our pherine product candidates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As drug-device combination candidates, each will require review and coordination by FDA’s drug and device centers prior to regulatory approval, which may delay approval. In the U.S., a combination product with a drug primary mode of action generally would be reviewed and approved pursuant to the drug approval processes under the FDCA. In reviewing the NDA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Management System Regulations (QMSR) applicable to medical devices. Problems associated with the device component of the combination product candidate may delay or prevent regulatory approval. Any such delay would have a material adverse effect on our business and prospects.</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clinical trials and could result in a more restrictive label or the delay or denial of regulatory approval by the FDA or comparable foreign regulatory authorities. We may also observe safety or tolerability issues with our product candidates in ongoing or future clinical trials. Many product candidates that initially showed promise in clinical trials or earlier-stage testing are later found to cause undesirable or unexpected side effects that prevent further development of the product candidate. Results of future clinical trials of our product candidates could reveal a high and unacceptable severity and prevalence of side effects or unexpected characteristics, despite a favorable tolerability profile observed in earlier-stage testing. 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specifically those deemed to be caused by or directly related to any of our product candidates, we, the FDA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comparable foreign regulatory authorities could order us to cease clinical trials or deny approval of our product candidates for any or all targeted indications. Treatment-emergent adverse events that are deemed to be drug-related could delay recruitment of clinical trial subjects or may cause subjects that enroll in our clinical trials to discontinue participation in our clinical trials. In addition, these adverse events may not be appropriately recognized or managed by the treating medical staff. We may need to train medical personnel using our product candidates to understand the adverse event and side effect profiles for our clinical trials and upon any commercialization of any of our product candidates. Inadequate training in recognizing or managing the potential adverse events or side effects of our product candidates could result in harm to patients that are administered our product candidates. Any of these occurrences may adversely affect our business, financial condition and prospects significantly.</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engage in similar actions, such as patient education, certification of health care professionals or specific monitoring, if we or others later identify undesirable side effects caused by any product. Other potentially significant negative consequences associated with adverse events include:</w:t>
      </w:r>
    </w:p>
    <w:p>
      <w:pPr>
        <w:spacing w:after="0" w:line="22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suspend marketing of a product, or we may decide to remove such product from the marketplace;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modify their approvals of our product;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post-marketing studies;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our product is administered;</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If our product candidates are approved by the FDA or other regulatory authorities, any of these events could diminish the usage or otherwise limit the commercial success of our products and prevent us from achieving or maintaining market acceptance of our products.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ultimately approved and regulated as controlled substances, we, our CDMOs,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Before we can commercialize a product candidates in the U.S. or any market outside the U.S., the U.S. Drug Enforcement Administration (DEA)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candidates to be controlled substances, we cannot yet give any assurance that such product candidates will not be regulated as controlled substances.</w:t>
      </w:r>
    </w:p>
    <w:p>
      <w:pPr>
        <w:spacing w:after="0" w:line="2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are regulated as controlled substances, depending on the DEA controlled substance schedule in which the product candidates are placed or that of its foreign counterpart, we, our CDMOs, and any future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distributors,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CDMOs would be subject to initial and periodic DEA inspection. If we or our CDMOs are not able to obtain or maintain any necessary DEA registrations or comparable foreign registrations, we may not be able to commercialize any product candidates that are deemed to be controlled substances or we may need to find alternative CDMOs, which would take time and cause us to incur additional costs, delaying or limiting our commercialization efforts.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21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a significant portion of our research and development efforts on the treatment of neuropsychiatric disorders, a field that faces certain challenges in drug development.</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focused a significant portion of our research and development efforts on addressing neuropsychiatric disorders. Efforts by pharmaceutical companies in this field have faced certain challenges in drug development. In particular, many neuropsychiatric disorders such as SAD and MDD rely on subjective assessments by clinicians and subjective patient-reported outcomes as key efficacy endpoints. This makes them more difficult to evaluate than indications with more objective endpoints. Furthermore, these indications are often subject to a placebo effect, which may make it more challenging to isolate the beneficial effects of our neuropsychiatric product candidates. There can be no guarantee that we will successfully overcome these challenges with our neuropsychiatric product candidates or that we will not encounter other challenges in the development of our other product candidates.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never commercialized a product, and even if any of our product candidates is approved by the FDA or other regulatory authorities for marketing and sale, it may nonetheless fail to achieve sufficient market acceptance by physicians, patients, third-party payors and others in the medical community. Certain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any,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including management time and financial resources, and may not be successful. For example, even if fasedienol ultimately receives regulatory approval, we may have difficulty in convincing the medical community that fasedienol has the potential to deliver promising therapeutic benefits above and beyond antidepressants.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20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any competitive 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by one or more of our product candidates that obtains regulatory approval to achieve market acceptance or commercial success would adversely affect our business prospects.</w:t>
      </w:r>
    </w:p>
    <w:p>
      <w:pPr>
        <w:spacing w:after="0" w:line="17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other product candidates, we may be unable to grow our business and our ability to achieve our strategic objectives would be impaired.</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Although the development and commercialization of our most advanced pherine product candidate, fasedienol, is currently our primary focus, as part of our longer-term growth strategy, we plan to develop other of our clinical stage pherine product candidates. We intend to evaluate internal opportunities from our existing pherine pipeline, and also may choose to in-license or acquire other product candidates to treat patients suffering from other disorders with significant unmet medical needs and limited or suboptimal treatment options. These other potential product candidates will require additional, time-consuming development efforts prior to regulatory approval and commercial sale, including manufacturing, preclinical studies, clinical trials and approval by the FDA and comparable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214"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color w:val="auto"/>
        </w:rPr>
        <w:t>In addition, we intend to devote substantial capital and resources for basic research to discover and identify additional pherine product candidates. These research programs require substantial technical, financial and human resources, whether or not any product candidates are ultimately identified and advanced in preclinical and clinical development. Our research programs may initially show promise in identifying potential pherine product candidates, yet fail to yield product candidates for preclinical and clinical development for many reasons, including the following:</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we develop may nevertheless be covered by third parties’ patents or other exclusive rights;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benefits of such efforts. We may not be able to acquire the rights to additional product candidates on terms that we find acceptable, or at all.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should we seek to acquire additional product candidates, future acquisitions may entail numerous operational and financial risks, including:</w:t>
      </w:r>
    </w:p>
    <w:p>
      <w:pPr>
        <w:spacing w:after="0" w:line="25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management’s time and attention to develop acquired products or technologies;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dilutive issuances of securities or depletion of cash to pay for acquisitions;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combining the operations and personnel of any acquired businesses with our operations and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motivate key employees of any acquired businesses.</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with the neuroscience conditions and disorders for which we are developing our product candidates has not been established with precision. If the actual number of patients with the conditions and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products may be smaller than we expect and our revenue potential and ability to achieve profitability may be materially adversely affected.</w:t>
      </w:r>
    </w:p>
    <w:p>
      <w:pPr>
        <w:spacing w:after="0" w:line="2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neuroscience pipeline includes product candidates for a variety of conditions and disorders. There is no precise method of establishing the actual number of patients with any of these conditions and disorders in any geography over any time period. With respect to many of the indications in which we have developed, are developing, or plan to develop our product candidates, we have estimates of the prevalence of the condition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conditions or disorders we are pursuing, or may in the future pursue, including, among others, our estimates as to the prevalence of SAD, MDD and vasomotor symptoms (hot flashes) due to menopause,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and other disease indications may, however, be significantly lower than we believe. Even if our prevalence estimates are correct, our product candidates may be developed for only a subset of patients with the relevant disease or disorder or our products, if approved, may be indicated for or used by only a subset. In the event the number of patients with the conditions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condition or disorder or our other market assumptions are not accurate, the markets for our product candidates for these conditions or disorders may be smaller than we anticipate, which could limit our revenues and our ability to achieve profitability or to meet our expectations with respect to revenues or profits.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and/or safer than ours, our ability to develop and successfully commercialize our product candidates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clinical and commercial landscapes for the treatment of neuroscience disorders, including those we are pursuing, are highly competitive and subject to rapid and significant technological change. We face competition with respect to our indications for our product candidates and will face competition with respect to any other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 candidates for the treatment of the conditions or disorders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a significant number of product candidates are currently under development for certain of the same conditions or disorders we are currently pursuing, and some or all may become commercially available in the future for the treatment of conditions or disorders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entitled “Business—Competition” in this Annual Report for examples of the competition that our product candidates face.</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We intend to establish sales and marketing capabilities, either on our own or in collaboration with third parties, with technical expertise and supporting distribution capabilities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commercialize one or more of our product candidates that may receive regulatory approval in key territories. These efforts will require substantial additional resources, some or all of which may be incurred in advance of any regulatory approval of the product candidate. Any failure or delay in the development of our or a third party collaborator internal sales, marketing and distribution capabilities would adversely impact the commercialization of our product candidates.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5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capital resources available to us in a timely manner, if at all, and on commercially reasonable terms;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leadership and sales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any future products;</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we may choose to collaborate with third parties that have direct sales forces and established distribution systems to serve as an alternative to building or to augment our own sales force and distribution systems. In that case, our future product revenue would be lower than if we directly marketed or sold our product candidates, if approved, on our own.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2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will not be successful in commercializing our product candidates.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or any of our future collaborators could divert our resources and attention, cause us to incur substantial liabilities and limit commercialization of our product candidates.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 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w:t>
      </w:r>
    </w:p>
    <w:p>
      <w:pPr>
        <w:spacing w:after="0" w:line="21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future approved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they may be used;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Cyberattacks or other failures in our telecommunications or information technology systems, or those of our collaborators, CDMOs, CROs, third-party logistics providers, distributors or other contractors or consultants, could result in information theft, data corruption and significant disruption of our business operations.</w:t>
      </w:r>
    </w:p>
    <w:p>
      <w:pPr>
        <w:spacing w:after="0" w:line="19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along with our collaborators, CDMOs, CROs, third-party logistics providers, distributors and other contractors and consultants, utilize information technology (IT) systems and networks to process, transmit and store electronic information, including confidential information such as proprietary business information and personal information of our employees and contractors, in connection with our business activities. As use of digital technologies has increased, our IT systems and those of our third-party service providers, strategic partners and other contractors or consultants are increasingly vulnerable to attack, damage and interruption from cyber incidents, including third parties gaining access to employee accounts using stolen or inferred credentials, computer malware (e.g., ransomware), viruses, malicious code, spamming, phishing attacks and other social engineering schemes, employee theft or misuse, human error, fraud, denial or degradation of service attacks, sophisticated nation-state and nation-state-supported actors, natural disasters, terrorism, war, telecommunication and electrical failures or other threats. Deliberate attacks and attempts to gain unauthorized access to computer systems and networks, have increased in frequency and sophistication. These threats pose a risk to the security of our, our collaborators’, CDMOs', CROs’, third-party logistics providers’, distributors’, and other contractors’ and consultants’ systems and networks, and the confidentiality, availability and integrity of our data. We may not be successful in preventing or identifying cyberattacks and may experience security breaches that may remain undetected for an extended period. Even if identified, we may be unable to adequately investigate or successfully mitigate their effects due to attackers increasingly using tools and techniques that are designed to circumvent controls, to avoid detection, and to remove or obfuscate forensic evidence. Like other companies, we have on occasion experienced, and will continue to experience, threats to our data and systems, including malicious codes and viruses, phishing, business email compromise attacks or other cyberattacks. Similarly, our collaborators, CDMOs, CROs, third-party logistics providers, distributors and other contractors and consultants may not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which could have a material adverse effect on our business and prospects. For example, the loss of clinical trial data from completed or ongoing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capital to fund expenses. We may decide to collaborate with pharmaceutical and biotechnology companies for the development and potential commercialization of those product candidates.</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derive revenue from research and development fees, license fees, milestone payments and royalties under any collaborative arrangement into which we enter.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Moreover, upfront payments received upon execution of collaborative agreements, such as the AffaMed Agreement, may be recorded as deferred revenue, in which case they would be recognized over the period of performance for the related performance obligations with the third-party collaborator pursuant to the applicable agreement. The period of performance obligations may also be revised on a prospective basis. Assumptions related to revenue recognition for performance obligations provided over time are reviewed in each accounting period and changes are recorded in the current period. In certain circumstances, changes in assumptions related to the measure of progress for a performance obligation performed over time could result in negative revenue or the acceleration of revenue for an accounting period.</w:t>
      </w:r>
    </w:p>
    <w:p>
      <w:pPr>
        <w:spacing w:after="0" w:line="2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any current or future collaboration that we enter into may not be successful. The success of our current and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us financially and could harm our business reputation.</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markets outside of the U.S., where we would be subject to additional regulatory burdens and other risks and uncertainties.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develop and commercialize our product candidates with third-party collaborators in markets outside of the U.S. If we develop and commercialize our product candidates in markets outside of the U.S., we would be subject to additional risks and uncertainties, including:</w:t>
      </w:r>
    </w:p>
    <w:p>
      <w:pPr>
        <w:spacing w:after="0" w:line="19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different standards of patentability and different availability of prior art in some foreign countries as compared with the U.S.;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our product candidates outside of the U.S. could also be adversely affected by the imposition of governmental controls, political and economic instability, trade restrictions and changes in tariffs.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Business and Operations</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key senior managerial personnel, third-party consultants and others and our ability to compete in the biopharmaceutical industry depends upon our ability to retain such highly qualified personnel. The loss of their services or our inability to hire such personnel could materially harm our business.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success depends, and will likely continue to depend, upon our ability to retain the services of our executive officers, key senior managerial and other key senior personnel within our organization. Our executive officers and other senior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employees may terminate their employment with us at any time. In addition, we recently reduced employee headcount in connection with cost preservation efforts. As a result, the loss of the services of those employees might impede the achievement of our operational and strategic objectives.</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Moreover, our ability to compete in the biopharmaceutical industry depends upon our ability to attract and retain highly qualified managerial, scientific, medical, regulatory and technical personnel. In particular, we will need to retain and, in some cases, hire, qualified personnel with expertise in clinical development and operations, preclinical research and development, manufacturing, quality management, medical and regulatory affairs, finance and accounting and other areas in connection with the continued development and commercialization of our product candidates. We currently rely, and for the foreseeable future will continue to rely, on third-party consultants and advisors, including scientific and clinical advisors, to assist us in formulating certain of our research and development objectives and activities as well as the development of certain of our commercialization strategies.</w:t>
      </w:r>
    </w:p>
    <w:p>
      <w:pPr>
        <w:spacing w:after="0" w:line="2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and the cultural fit to be a leader in our organization. Competition to hire from this limited pool is intense, and we may be unable to hire, train, retain or motivate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Further, inflationary pressure may increase our costs, including employee compensation costs or result in employee attrition to the extent our compensation does not keep up with inflation, particularly if our competitors’ compensation does.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can be no assurance that the services of third-party consultants and advisors will continue to be available to us on a timely basis when needed, that we will be able to manage our existing consultants and advisors or that we can find qualified replacements on economically reasonable terms, or at all. Our consultants and advisors may be employed by other entities and may have commitments under consulting or advisory contracts with those entities that may limit their availability to us. If we are unable to continue to attract and retain highly qualified consultants and advisors, our ability to develop and commercialize our product candidates will be limited.</w:t>
      </w:r>
    </w:p>
    <w:p>
      <w:pPr>
        <w:spacing w:after="0" w:line="20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hire and/or retain a sufficient number of employees or employees with the required expertise to develop our product candidates or operate our business successfully.</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March 2026, our Board of Directors approved a reduction of approximately 20% in our workforce, intended to provide disciplined cash management while prioritizing efficient execution of the ongoing clinical studies in our PALISADE Program. As of March 31, 2026, we had 41 full-time employees. Our focus on the development of our lead product candidates requires us to optimize cash utilization and to manage and operate our business in a highly efficient manner. We cannot assure you that we will be able to retain adequate staffing levels to develop our product candidates or run our operations and/or to accomplish all of the objectives that we otherwise would seek to accomplish. If we are not able to retain adequate staffing levels or effectively expand our organization by hiring new qualified employees as needed, our clinical trials may be delayed or terminated, we may not be able to successfully execute the tasks necessary to further develop and commercialize our product candidates and, accordingly, may not achieve our development and commercialization goals.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CDMOs and CROs may engage in misconduct or other improper activities, including non-compliance with regulatory standards and requirements, which could cause significant liability for us and harm our reputation.</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CDMOs and CROs may engage in fraudulent conduct or other illegal activity.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Misconduct by those parties could include intentional, reckless and/or negligent conduct or disclosure of unauthorized activities that violates:</w:t>
      </w:r>
    </w:p>
    <w:p>
      <w:pPr>
        <w:spacing w:after="0" w:line="208" w:lineRule="exact"/>
        <w:rPr>
          <w:sz w:val="20"/>
          <w:szCs w:val="20"/>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and trial protocols or the FDA regulations or similar regulations of comparable non-U.S. regulatory authorities, including those laws requiring the reporting of true, complete and accurate information to such authorities;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and similar laws and regulations established and enforced by comparable non-U.S. regulatory authorities; and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reporting of financial information or data accurately.</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domestic or global economic or political conditions could adversely affect our business, financial condition or results of operations.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results of operations could be adversely affected by either domestic or global political conditions, as well as general conditions in the domestic or global economy and in the U.S. and global financial and stock markets. Domestic and global financial and political crises cause extreme volatility and disruptions in the capital and credit markets. A severe or prolonged government shutdown and/or economic downturn, could result in a variety of risks to our business, including, weakened demand for our product candidates and our ability to raise additional capital when needed on acceptable terms, if at all. A weak or declining domestic or global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CDMOs, or that otherwise disrupted operations, it may be difficult or, in certain cases, impossible for us to continue our business for a substantial period of time. The disaster recovery and business continuity plan we have in place may prove inadequate in the event of a serious disaster or similar event. We may incur substantial expense as a result of the limited nature of our disaster recovery and business continuity plans, which could have a material adverse effect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Remote working arrangements could significantly increase our digital and cybersecurity risks.</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damage or disruption of our systems, or the theft or compromise of our technology, data, or intellectual property, may negatively impact our business, financial condition and results of operations, reputation, stock price and long-term value, which could adversely affect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politics in the U.S. could diminish the value of the pharmaceutical industry, thereby diminishing the value of our securities.</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current political environment in the U.S. is volatile, and recent or future regulatory changes, especially leadership at the FDA, have resulted, and may continue to result, in uncertainty throughout the pharmaceutical industry and, have an adverse effect on our business and the value of our securities. This political and regulatory uncertainty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augment our internal personnel in the conduct of our clinical trials and expect to rely on these third parties to augment our efforts to conduct clinical trials of any product candidate that we develop. Our ability to complete clinical trials in a timely fashion depends on a number of key factors. These factors include protocol design, regulatory and IRB or ethics committee approval, patient enrollment rates and compliance with GCPs. In most cases, we use the services of third parties, including CROs, to carry out many of clinical trial-related activities and rely on such parties to accurately report their results. Our reliance on third parties for clinical development activities may impact or limit our control over the timing, conduct, expense and quality of our clinical trials. Moreover, the FDA and certain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Similar requirements may exist in foreign jurisdictions.</w:t>
      </w:r>
    </w:p>
    <w:p>
      <w:pPr>
        <w:spacing w:after="0" w:line="23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remain responsible for ensuring that each of our clinical trials is conducted in accordance with the applicable protocol, legal and regulatory requirements and scientific standards. Our failure, or the failure of our third-party contract manufacturers, to comply with applicable protocol, legal and regulatory requirements and scientific standards could result in, among other things, rejection of our clinical data, sanctions being imposed on us, including clinical holds, a refusal to file determination by the FDA, receipt of a complete response letter,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our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independent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Accordingly, enrollment and randomization of</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subjects in some of our clinical trials may be slower than expected as a result of these changes in the post-COVID clinical trial landscape.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rely on third party CDMOs and others to manufacture, store and distribute drug supplies for our clinical trials. Any performance failure on the part of these third-parties could delay clinical development or regulatory approval of our product candidates or commercialization of any resulting products, producing additional losses and depriving us of potential product revenue.</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Any of the third-party organizations we utilize may terminate their engagements with us under certain circumstances. The replacement of an existing CRO, manufacturer or other third party may result in the delay of the affected trials or otherwise adversely affect our efforts to obtain regulatory approvals and commercialize our product candidates. Although we believe we have diversified our risk by engaging a number of CROs and other third-party organizations and there are a number of other CROs we could engage to continue these activities, we may not be able to enter into alternative arrangements or do so on commercially reasonable terms or in a timely manner.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party CDMOs to manufacture our product candidates may increase the risk that we will not have sufficient quantities of our product candidates, raw materials, active pharmaceutical ingredients (APIs) or drug products when needed or at an acceptable cost.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party CDMOs.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currently rely on and engage third-party CDMOs to provide all of the API and the final filled and finished drug product formulation of all of our product candidates that are being used in our clinical trials and preclinical studies. Although we believe that there are several potential alternative manufacturers who could manufacture our product candidates, we may incur added costs and delays in identifying and qualifying any such replacement. However, if necessary, we can provide no assurance that we will be able to find an alternative manufacturer on acceptable terms.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third-party CDMOs we rely on from time to time may have limited or no experience manufacturing our API and final drug products. If our third-party CDMOs have difficulty or suffer delays in successfully manufacturing material that meets our specifications, it may limit supply of our product candidates and could delay our clinical trials.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CDMOs, reliance on third-party CDMOs entails additional risks, including:</w:t>
      </w:r>
    </w:p>
    <w:p>
      <w:pPr>
        <w:spacing w:after="0" w:line="239" w:lineRule="exact"/>
        <w:rPr>
          <w:sz w:val="20"/>
          <w:szCs w:val="20"/>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CDMOs to comply with applicable regulatory requirements and reliance on third parties for manufacturing process development, regulatory compliance and quality assurance;</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CDMOs give greater priority to the supply of other products over our product candidates or otherwise do not satisfactorily perform according to the terms of the agreement between us;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CDMO, at a time that is costly or inconvenient to us; and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do not maintain our key third-party CDMO relationships, we may fail to find replacement manufacturers or develop our own manufacturing capabilities, which could delay or impair our ability to obtain regulatory approval for our product candidates. If we do find replacement third-party CDMO,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if any third-party CDMO with whom we contract fails to perform its obligations, we may be forced to manufacture the materials ourselves, for which we do not and may not ever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third-party contract manufacturer and we may have difficulty, or there may be contractual restrictions prohibiting us from, transferring such skills to a back-up or alternate supplier, or we may be unable to transfer such skills at all. In addition, if we are required to change third-party CDMOs for any reason, we will be required to verify that the new third-party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The delays associated with the verification of a new third-party CDMO could negatively affect our ability to develop product candidates or commercialize our products in a timely manner or within budget. Furthermore, a third-party CDMO may possess technology related to the manufacture of our product candidate that such third party owns independently. This would increase our reliance on such third-party CDMO or require us to obtain a license from such third-party CDMO in order to have another third party CDMO our product candidates.</w:t>
      </w: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is approved by any regulatory agency, we intend to utilize arrangements with third-party CDMOs for the commercial production of those products. This process is difficult and time consuming and we may face competition for access to manufacturing facilities as there are a limited number of CDMOs operating under cGMPs that are capable of manufacturing our product candidates. Consequently, we may not be able to reach agreement with third-party contract manufacturers on satisfactory terms, which could delay our commercialization.</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Some of our third-party CDMOs are located outside of the U.S. There is currently significant uncertainty about the future relationship between the U.S. and various other countries, including Canada, China, India, Mexico and the United Kingdom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APIs used in our product candidates, or our business may be adversely impacted by retaliatory trade measures taken by Canada, China, India, Mexico and the United Kingdom or other countries, including restricted access to raw materials we may use in our product candidates. Given the unpredictable regulatory environment in the U.S.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spacing w:after="0" w:line="2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failure, or the failure of our third-party CDMOs,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CDMOs to manufacture our product candidates must be evaluated by the FDA or comparable foreign regulatory authorities in connection with any NDA or other application we may submit. We do not control the manufacturing process of, and are completely dependent on, our contract manufacturing partners for compliance with cGMPs and similar foreign requirements. If our third-party contract manufacturers cannot successfully manufacture material that conforms to our specifications and the strict regulatory requirements of the FDA or others, we may not be able to secure and/or maintain regulatory approval for our product candidates manufactured at these facilities. In addition, we have no control over the ability of our third-party contract manufacturers to maintain adequate quality control, quality assurance and qualified personnel. If the FDA finds deficiencies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candidates, if approved. Third-party contract manufacturers may face manufacturing or quality control problems causing drug substance production and shipment delays or a situation where the contractor may not be able to maintain compliance with the applicable cGMP requirements. Any failure to comply with cGMP and similar foreign requirements or other FDA and comparable foreign regulatory requirements could adversely affect our clinical research activities and our ability to develop our product candidates and market our products, if approved.</w:t>
      </w:r>
    </w:p>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FDA and other foreign regulatory authorities require our third-party CDMOs to register manufacturing facilities. The FDA and corresponding foreign regulators also inspect these facilities to confirm compliance with cGMPs and similar foreign requirements.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of any third-party CDMO to comply with cGMP requirements for applicable drug/device combination products could significantly affect supplies of our product candidates.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each of our current clinical-stage pherine product candidates, fasedienol, refisolone, itruvone, PH15 and PH284, will be considered drug-device combination products. Third-party CDMOs may not be able to comply with cGMP requirements applicable to drug/device combination products, including applicable provisions of the FDA’s or a comparable foreign regulatory authority’s drug cGMP regulations, device cGMP requirements embodied in the QMSR or similar regulatory requirements outside the U.S. Our failure, or the failure of our third-party contract manufacturers, to comply with applicable regulations could result in material adverse effects,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any third-party CDMO of our product candidates is unable to increase the scale of its production of our product candidates or increase the product yield of its manufacturing, then our manufacturing costs may increase and commercialization may be delayed.</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and, if approved, subsequent commercialization of our product candidates, our third-party CDMOs will be required to increase their production and optimize their manufacturing processes while maintaining the quality of our product candidates. The transition to larger scale production could prove difficult. In addition, if our third-party CDMOs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need to maintain licenses for APIs from third parties to develop and commercialize some of our product candidates, which could increase our development costs and delay our ability to commercialize those product candidates.</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Should we decide to use any APIs in any of our product candidates that are proprietary to one or more third parties, we would need to maintain licenses to those APIs from those third parties. If we are unable to gain or continue to access rights to these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approved for reimbursement before it can be approved for sale in that jurisdiction. In some cases, the price that we intend to charge for our products is also subject to approval.</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In addition, we will be subject to continued compliance with cGMP and similar foreign requirements and GCP requirements for any clinical trials that we conduct post-approval.</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and similar foreign regulations and applicable product tracking and tracing requirements. As such, we and our contract manufacturers will be subject to continual review and inspections to assess compliance with cGMP and similar foreign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2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0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product recalls;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pending applications or supplements to approved applications filed by us or suspension or withdrawal of approvals;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FDA and certain foreign regulatory authorities strictly regulate marketing, labeling, advertising and promotion of products that are placed on the market. Products may be promoted only for the approved indications and in accordance with the provisions of the approved label.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While we have in the past and may in the future seek designations for our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These programs are designed to encourage the research and development of product candidates that are intended to address serious conditions. These designations may confer benefits such as additional interaction with regulatory authorities and eligibility for expedited review procedures.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 For example, we have in the past and may in the future seek Fast Track designation and/or Breakthrough Therapy designation for some of our product candidates. The FDA has broad discretion whether or not to grant these designations, so even if we believe a particular product candidate is eligible for this designation, there can be no assurance that the FDA would decide to grant it.</w:t>
      </w: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FDA has granted Fast Track designation for development of fasedienol for the acute treatment of SAD, for development of itruvone for the treatment of MDD, and for development of AV-101 for the adjunctive treatment of MDD and the treatment of neuropathic pain, and we may seek fast track designation for some of our other pherine product candidates. If a drug or biologic is intended for the treatment of a serious or life-threatening condition and the therapy demonstrates the potential to address unmet medical needs for this condition, the therapy sponsor may be eligible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NDA is submitted, the application may be eligible for priority review. A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2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receipt of Fast Track designation for development of fasedienol for acute treatment of SAD, for itruvone for the treatment of MDD and AV-101 for the adjunctive treatment of MDD and for the treatment of neuropathic pain, and any future receipt of Fast Track designation for other product candidates, does not guarantee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Breakthrough Therapy is defined as a drug or biologic that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a product candidate that has been designated as a Breakthrough Therapy, interaction and communication between the FDA and the sponsor of the trial can help to identify the most efficient path for clinical development while minimizing the number of patients placed in ineffective control regimens. Product candidates receiving Breakthrough Therapy designation also receive the same benefits associated with Fast Track designation, described above. Designation as a Breakthrough Therapy is within the sole discretion of the FDA. Accordingly, even if we believe one of our product candidates meets the criteria for designation as a Breakthrough Therapy, the FDA may disagree and instead determine not to make such designation. For example, the FDA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has declined to grant our requests for Breakthrough Therapy designation for fasedienol for the acute treatment of SAD.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Therapy designation, the FDA may later decide that such product candidates no longer meet the conditions for qualification.</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Some of our programs have been partially supported by government grant awards. Although we do not currently rely on government funding nor do we have a present intent to seek further grant funding from governmental agencies, should that change, such funding may not be available to us in the future or subject us to federal regulations such as “march-in” rights, certain reporting requirements and a preference for U.S. industry.</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Currently, we do not rely on grant funding from government agencies for our development programs, and we do not have a present intent to seek grant funding from government agencies. While not a current priority, we may apply for grant funding from governmental agencies in the future. However, funding by these governmental agencies may be significantly reduced or eliminated in the future for a number of reasons. For example, some programs are subject to a yearly appropriations process in Congress. In addition, we may not receive full funding under current or future grants because of budgeting constraints of the agency administering the program or unsatisfactory progress on the study being funded. Therefore, we cannot assure you that we will receive any future grant funding from any government agencies, or, that if received, we will receive the full amount of the particular grant award. Any such reductions could delay the development of our product candidates.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Moreover, any intellectual property rights generated through the use of U.S. government funding are subject to the Bayh-Dole Act of 1980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(1) adequate steps have not been taken to commercialize the invention; (2) government action is necessary to meet public health or safety needs; or (3) government action is necessary to meet requirements for public use under federal regulations, which we refer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any future arrangement involving government funding, and if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Federal and state healthcare laws and regulations that may affect our ability to operate include the following:</w:t>
      </w:r>
    </w:p>
    <w:p>
      <w:pPr>
        <w:spacing w:after="0" w:line="208" w:lineRule="exact"/>
        <w:rPr>
          <w:sz w:val="20"/>
          <w:szCs w:val="20"/>
          <w:color w:val="auto"/>
        </w:rPr>
      </w:pPr>
    </w:p>
    <w:p>
      <w:pPr>
        <w:jc w:val="both"/>
        <w:ind w:left="660" w:hanging="328"/>
        <w:spacing w:after="0" w:line="250"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18"/>
          <w:szCs w:val="18"/>
          <w:color w:val="auto"/>
        </w:rPr>
        <w:t>or in part, under a federal healthcare program, such as the Medicare and Medicaid programs. A person or entity does not need to have actual knowledge of the federal Anti-Kickback Statute or specific intent to violate it to have committed a violation. Violations are subject to civil fines and criminal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222" w:lineRule="exact"/>
        <w:rPr>
          <w:sz w:val="20"/>
          <w:szCs w:val="20"/>
          <w:color w:val="auto"/>
        </w:rPr>
      </w:pPr>
    </w:p>
    <w:p>
      <w:pPr>
        <w:jc w:val="both"/>
        <w:ind w:left="660" w:hanging="328"/>
        <w:spacing w:after="0" w:line="243"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9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submission of false or fraudulent claims, the employment or contracting of an excluded individual or entity, and offering or transferring remuneration to a federal healthcare beneficiary that a person knows or should know is likely to influence the beneficiary’s selection of a particular provider, practitioner, or supplier of reimbursable items or services;</w:t>
      </w:r>
    </w:p>
    <w:p>
      <w:pPr>
        <w:spacing w:after="0" w:line="217"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prohibits, among other things,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08"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applicable manufacturers of drugs, devices, biologics and medical supplies for which payment is available under Medicare, Medicaid or the Children’s Health Insurance Program to report annually to the U.S. Centers for Medicare &amp; Medicaid Services, within the U.S. Department of Health and Human Services, information related to payments or other transfers of value made to physicians (defined to include doctors, dentists, optometrists, podiatrists and chiropractors), certain non-physician practitioners including nurse practitioners, certified nurse anesthetists, anesthesiologist assistants, physician assistants, clinical nurse specialists, and certified nurse midwives) as well as teaching hospitals and to disclose ownership and investment interests held by physicians and their immediate family members;</w:t>
      </w:r>
    </w:p>
    <w:p>
      <w:pPr>
        <w:spacing w:after="0" w:line="2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manufacturers to calculate and report complex pricing metrics in an accurate and timely manner to government programs; and</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government-funded healthcare programs and imprisonment. If any of the above occur, our ability to operate our business and our results of operations could be adversely affected.</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96"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Private health insurers and other third-party payors in the U.S. often follow the coverage and reimbursement policies of government payors, including the Medicare or Medicaid programs.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if approved. Patients are unlikely to use our product candidates, once approved, unless coverage is provided and reimbursement is adequate to cover a significant portion of their cost. There is significant uncertainty related to</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coverage and reimbursement of newly approved products. It is difficult to predict at this time what third-party payors will decide with respect to the coverage and reimbursement for our product candidates.</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and regulatory reform measures may have a material adverse effect on our business and results of operations.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2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U.S. Governments have shown significant interest in implementing cost-containment programs, including price controls, restrictions on reimbursement and requirements for substitution of generic products. For instance, in August 2022, the Inflation Reduction Act of 2022 (the IRA) was signed into law. The IRA includes several provisions that will impact our business to varying degrees, including provisions that allow the U.S. government to negotiate Medicare Part B and Part D pricing for certain high-cost drugs and biologics without generic or biosimilar competition, require companies to pay rebates to Medicare for drug prices that increase faster than inflation, create an out-of-pocket cap for Medicare Part D beneficiaries, impose new manufacturer financial liability on all drugs in Medicare Part D and delay the rebate rule that would require pass-through of pharmacy benefit manager rebates to beneficiaries. In particular, the IRA allows CMS to begin negotiating prices for certain high-cost Medicare-covered small molecule drugs after they have spent seven years on the market. CMS has published the negotiated prices for the initial ten drugs, which went into effect in January 2026, and the subsequent 15 drugs, which will first be effective in 2027. CMS has also published the next set of 15 drugs that will be subject to negotiation. Any reduction in reimbursement from Medicare or other government programs may result in a similar reduction in payments from private payors. All of our disclosed product candidates are small molecule drugs and certain of them are being developed in indications that may rely heavily on Medicare reimbursement, such as depression. Accordingly, these new price-negotiation provisions may have a negative impact on our future revenue and profits. The implementation of the IRA is currently subject to ongoing litigation challenging the constitutionality of the IRA’s Medicare drug price negotiation program. The effect of IRA on our business and the healthcare industry in general is not yet fully known. Adoption of price controls and cost-containment measures, and adoption of more restrictive policies in jurisdictions with existing controls and measures, could further limit our revenue generated from the sale of any approved products. Even if we do receive a favorable coverage determination for our products by third-party payors, coverage policies and third-party payor reimbursement rates may change at any time.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The continuing efforts of the government, insurance companies, managed care organizations and other payers of healthcare services to contain or reduce costs of healthcare may adversely affect:</w:t>
      </w:r>
    </w:p>
    <w:p>
      <w:pPr>
        <w:spacing w:after="0" w:line="208"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current administration is also pursuing a two-fold strategy to reduce drug costs in the U.S. While it is unclear whether and how these proposals will be implemented, the current administration’s policies are likely to have a negative impact on the pharmaceutical industry and on our ability to receive adequate revenues for our products, if approved. On the one hand, the current U.S. president threatened to impose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Subsequently, in April 2026, the current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 On the other hand, the current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Moreover, recent and/or future policy changes may create uncertainty for our business. In its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(the Loper Decision), the U.S. Supreme Court overturned the longstanding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under which courts were required to give deference to regulatory agencies’ reasonable interpretations of ambiguous federal statutes. The Loper Decision could result in additional legal challenges to regulations and guidance issued by federal agencies applicable to our operations, including those issued by the FDA. Additionally, the Loper Decision may result in increased regulatory uncertainty, inconsistent judicial interpretations and other impacts to the agency rulemaking process.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will be enacted, or whether the FDA or foreign regulations, guidance or interpretations will be changed, or what the impact of such changes on the marketing approvals or clearances of our product candidates, if any, may be.</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 candidates may harm our reputation in the marketplace or result in injuries that lead to costly product liability suits.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our product candidates are approved by the FDA or comparable foreign regulatory authorities, we may only promote or market our product candidates in a manner consistent with their FDA-approved labeling (or the label approved by foreign regulatory authorities).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or comparable foreign regulatory authorities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Reduction in staffing and/or 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staffing levels, government budget and funding levels, ability to hire and retain key personnel and accept the payment of user fees, and statutory, regulatory, and policy changes. Average review times at the FDA and comparable foreign regulatory authorities,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Disruptions and personnel turnover, as a result of leadership changes, staff reductions or otherwise, or changes to key personnel, including those on relevant regulatory review teams at the FDA, other government agencies and comparable foreign regulatory authorities may also slow the time necessary for new drugs to be reviewed and/or approved by necessary government agencies and comparable foreign regulatory authorities, which would adversely affect our business. For example, in recent years, the U.S. government has shut down several times and certain regulatory agencies, such as the FDA, have had to furlough critical employees and stop critical activities.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current U.S. Presidential administration has issued certain policies and Executive Orders directed towards reducing the employee headcount and costs associated with U.S. administrative agencies, including the FDA and the USPTO, and it remains unclear the degree to which these efforts may limit or otherwise adversely affect ability of these agencies to conduct routine activities. If funding shortages, policy changes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 Significant reductions in, or disruptions to, staffing and resources available at the USPTO could also lead to delays in the examination or approval of patent applications, or to other challenges in securing and/or enforcing our intellectual property rights.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global data protection laws and regulations, which may require us to incur substantial compliance costs, and any failure or perceived failure by us to comply with such laws and regulations may harm our business and operations.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U.S., HIPAA, as amended by the Health Information Technology for Economic and Clinical Health Act of 2009, and regulations implemented thereunder,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Other states have enacted similar consumer privacy laws that grant rights to data subjects and place privacy and security obligations on entities handling personal data of consumers or households. While we are not currently subject to laws such as the CCPA, such state privacy laws and similar legislation proposed at the state and federal level could mark the beginning of a trend toward more stringent privacy legislation in the U.S., which could increase our potential liability and adversely affect our business.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to our operations in the U.S., which may be subject to healthcare and other laws relating to the privacy and security of health information and other personal information, we may seek to conduct future clinical trials in the United Kingdom or the European Economic Area (the EEA) and may become subject to additional European data privacy laws, regulations and guidelines. We will be subject to the data protection laws of the EU and United Kingdom in relation to personal data we collect from these territories. These laws impose additional obligations and risk upon our business, including substantial expenses and changes to business operations that are required to comply with these laws. For example, the European Union General Data Protection Regulation (EU GDPR) went into effect in May 2018 and imposes strict requirements for processing the personal data of individuals within the EEA or in the context of our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some of the personal data we process in respect of clinical trial participants is special category or sensitive personal data under the EU GDPR, and subject to additional compliance obligations and to local law derogations. Since the beginning of 2021, after the end of the transition period following the withdrawal of the United Kingdom from the EU (Brexit), we may also be subject to the United Kingdom General Data Protection Regulation and Data Protection Act 2018 (collectively, the UK GDPR) which imposes separate but similar obligations to those under the EU GDPR and comparable penalties, including fines of up to £17.5 million or 4% of a noncompliant company’s global annual revenue for the preceding financial year, whichever is greater. The subsequent separation of the data protection regimes of these territories mean we are required to comply with separate data protection laws in the EU and United Kingdom, which may lead to additional compliance costs and could increase our overall risk.</w:t>
      </w:r>
    </w:p>
    <w:p>
      <w:pPr>
        <w:spacing w:after="0" w:line="2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EU and UK GDPR (collectively, the GDPR), which deals with the processing of personal data and on the free movement of such data, imposes a broad range of strict requirements, including requirements relating to having lawful bases for processing personal data and transferring such information outside the EEA/UK, including to the U.S.,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GDPR imposes strict rules on the transfer of personal data out of the EEA/UK to countries not regarded by European Commission and the United Kingdom government as providing adequate protection, or the third countries, including the U.S. and the efficacy and longevity of current transfer mechanisms between the EEA and the U.S.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October 7, 2022, President Biden signed an Executive Order on ‘Enhancing Safeguards for U.S. Intelligence Activities’ which introduced new redress mechanisms and binding safeguards to address the concerns raised by the CJEU in relation to data transfers from the EEA to the U.S. and which formed the basis of the new EU-US Data Privacy Framework (DPF), as released on December 13, 2022. The European Commission adopted its Adequacy Decision in relation to the DPF on July 10, 2023, rendering the DPF effective as a EU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On October 12, 2023, the UK Extension to the DPF came into effect (as approved by the UK Government), as a UK GDPR data transfer mechanism to U.S. entities self-certified under the UK Extension to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This may lead to additional compliance costs and could increase our overall risk.</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Should we conduct future clinical trials in the U.K. or EU, we cannot assure you that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reputation and materially harm our business. As we continue to expand into other foreign countries and jurisdictions, we may be subject to additional laws and regulations that may affect how we conduct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laws and regulations governing international operations could negatively impact or restrict our operations.</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If we expand our operations outside of the U.S., we must dedicate additional resources to comply with numerous laws and regulations in each jurisdiction in which we plan to operate. The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which would have a material adverse impact on our business, results of operations, financial condition and prospects.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commercially meaningful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itruvone, refisolone, PH15, and AV-101 and nasal spray delivery devices, and have licensed patents and patent applications related to certain stem cell technologies.</w:t>
      </w:r>
    </w:p>
    <w:p>
      <w:pPr>
        <w:spacing w:after="0" w:line="22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spacing w:after="0" w:line="2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product candidates and may have filed or may file patent applications and may have been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Another source of uncertainty pertains to patent properties that were in-licensed by us for which prior art submissions were under the control of the licensor. We rely on these licensors to satisfy the relevant disclosure obligations.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any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patents are granted in the U.S. or other countries, third parties may challenge the validity, enforceability, or scope of such issued patents or any other issued patents we own or license, which may result in such patents being narrowed, invalidated, or held unenforceable.</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U.S. and foreign patents and patent applications may be subject to various types of infringement and validity proceedings, including interference proceedings, ex parte reexamination, inter partes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a patent or rejection of a patent application or loss or reduction in the scope of one or more of the claims of the patent or patent in such a way that they no longer cover our product candidates or competitive products of third parties.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or non-infringing formulations, devices, or methods of their use. Other parties may develop and obtain patent protection for more effective technologies, designs, or methods.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one of our product candidates, the defendant could counterclaim that the patent covering our product candidate is invalid and/or unenforceable. In patent litigation in the U.S.,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parties may also raise similar claims before administrative bodies in the U.S.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U.S., and we may encounter significant problems in protecting our proprietary rights in these countries. Moreover, public policy, both within and outside the U.S., has become increasingly unfavorable toward intellectual property rights. We cannot be certain that we will secure and maintain adequate patent protection for new products and technologies in the United States and other important markets. If these developments were to occur, they could have a material adverse effect on our sales.</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or in which we participate as a third party, and the damages or other remedies awarded if we prevail may not be commercially meaningful.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degree of future protection for our proprietary rights is uncertain, and we cannot ensure that:</w:t>
      </w:r>
    </w:p>
    <w:p>
      <w:pPr>
        <w:spacing w:after="0" w:line="239" w:lineRule="exact"/>
        <w:rPr>
          <w:sz w:val="20"/>
          <w:szCs w:val="20"/>
          <w:color w:val="auto"/>
        </w:rPr>
      </w:pPr>
    </w:p>
    <w:p>
      <w:pPr>
        <w:jc w:val="both"/>
        <w:ind w:left="660" w:hanging="328"/>
        <w:spacing w:after="0" w:line="258"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related to our product candidates or any pending patent applications, if granted and challenged by others, will include or maintain claims having a scope sufficient to protect these product candidates or any other products or product candidates against generic or other competition, particularly considering that any patent rights to these compounds per se have expired;</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 candidates, if approved, before our relevant patents expire;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ultimately be found to be valid and enforceable, including on the basis of prior art relating to our patent applications and patents;</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U.S. patents, if issued, will be eligible for listing in the FDA’s “Approved Drug Products with Therapeutics Equivalents Evaluations” (commonly known as the Orange Book);</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are listed in the Orange Book may be challenged by the Federal Trade Commission or other as being listed inappropriately and subsequently removed, thereby depriving the Company of significant patent enforcement protections;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the patents or proprietary rights of others.</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who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 and we may thereby lose intellectual property protection.</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would be uncertain and a failure to prevail in such proceedings could have a material adverse effect on the success of our business.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inter partes reviews, or derivation proceedings before the U.S. or other jurisdictions.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biopharmaceutical industry is characterized by extensive litigation regarding patents and other intellectual property rights. Other parties may allege that our product candidates or the use of our technologies infringe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devices,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U.S. or the European Union.</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outcome of intellectual property litigation is subject to uncertainties that cannot be adequately quantified in advance. For example, the U.S. Supreme Court recently decided </w:t>
      </w:r>
      <w:r>
        <w:rPr>
          <w:rFonts w:ascii="Times New Roman" w:cs="Times New Roman" w:eastAsia="Times New Roman" w:hAnsi="Times New Roman"/>
          <w:sz w:val="18"/>
          <w:szCs w:val="18"/>
          <w:i w:val="1"/>
          <w:iCs w:val="1"/>
          <w:color w:val="auto"/>
        </w:rPr>
        <w:t>Hikma v. Amarin</w:t>
      </w:r>
      <w:r>
        <w:rPr>
          <w:rFonts w:ascii="Times New Roman" w:cs="Times New Roman" w:eastAsia="Times New Roman" w:hAnsi="Times New Roman"/>
          <w:sz w:val="18"/>
          <w:szCs w:val="18"/>
          <w:color w:val="auto"/>
        </w:rPr>
        <w:t xml:space="preserve"> (June 2026), which concerned alleged “induced” infringement by a generic manufacturer that obtained FDA approval to market a drug under a “skinny label” corresponding to an unpatented treatment method while a second indication remained under patent. The Court found that merely stating that a product was a generic equivalent did not constitute active steps to encourage infringement of the patented treatment indication. Although this decision will not have any direct, immediate impact on the Company, it could be relevant in the future should the Company receive FDA approval to treat multiple indications using unpatented compounds or formulations. In addition, the coverage of patents is subject to interpretation by the courts, and the interpretation is not always uniform and is subject to change.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 unfavorable outcome in the foregoing kinds of proceedings could require us or our licensors or collaborators to cease using the related technology or developing or commercializing one or more of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one or more of our product candidates.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intellectual property litigation or claims could force us to do one or more of the following:</w:t>
      </w:r>
    </w:p>
    <w:p>
      <w:pPr>
        <w:spacing w:after="0" w:line="23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commercially reasonable terms, if at all;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is prohibitively expensive, and our intellectual property rights in some countries outside the U.S. could be absent, unavailable or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applications and the time periods allowed for filing related applications in a given country. Thus, for each of the patent families that we believe provide coverage for our lead product candidates or technologies, we must decide where and when to pursue protection outside the U.S.</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In addition, we may not be able to obtain a trademark registration in the US or other countries that provides optimal brand name protection, and we may not be able to obtain the same trademark registration in the US and other countries. Even if we pursue and obtain issued patents in particular jurisdictions, our patent claims or other intellectual property rights may not be effective or sufficient to prevent third parties from so competing.</w:t>
      </w:r>
    </w:p>
    <w:p>
      <w:pPr>
        <w:spacing w:after="0" w:line="2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licensed may have been discovered through government-funded programs and thus may be subject to federal regulations such as “march-in”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Some of the intellectual property rights we have licensed or may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These U.S. government rights in certain inventions developed under a government-funded program include a non-exclusive, non-transferable, irrevocable worldwide license to use inventions for any governmental purpose.</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U.S. government has the right to require us to grant exclusive, partially exclusive, or non-exclusive licenses to any of these inventions to a third party if it determines that: (i) adequate steps have not been taken to commercialize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Intellectual property generated under a government-funded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U.S.to the extent they are commercialized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not a current priority, in the event that we apply for additional U.S. government funding, and we discover compounds or drug candidates as a result of such funding, intellectual property rights to such discoveries may be subject to the applicable provisions of the Bayh-Dole Act.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or obtaining regulatory and data exclusivity for our product candidates, our business may be materially harmed.</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fasedienol, itruvone, or AV-101 is used in another drug company’s product candidate and that product candidate is the first to obtain FDA approval.</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recent U.S. Supreme Court rulings have narrowed the scope of patent protection available in certain circumstances and weakened the rights of patent owners in certain situations. The full impact of these decisions is not yet known. Recent court decisions and related USPTO examination guidelines must be considered, particularly as they relate to</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what types of inventions are eligible for patent protection. Foreign patent and intellectual property laws are also evolving and are not predictable as to their impact on the Company and other biopharmaceutical companies.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2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04" w:lineRule="exact"/>
        <w:rPr>
          <w:sz w:val="20"/>
          <w:szCs w:val="20"/>
          <w:color w:val="auto"/>
        </w:rPr>
      </w:pPr>
    </w:p>
    <w:p>
      <w:pPr>
        <w:ind w:left="6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a pending patent application that we own;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or useful licenses on reasonable terms or at all;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regain compliance with the continued listing requirements of the Nasdaq Capital Market, our common stock may be delisted and the price of our common stock and our ability to access the capital markets could be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negatively impacted. Moreover, there can be no assurance that we will be able to regain compliance with such Nasdaq continued listing standards in the future.</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February 3, 2026, we were notified by the Nasdaq Stock Market, LLC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provides that we have 180 calendar days, or until August 3, 2026, to regain compliance with Nasdaq Listing Rule 5550(a)(2). To regain compliance, the bid price of our common stock must have a closing bid price of at least $1.00 per share for a minimum of 10 consecutive business days. An additional 180 days may be granted to regain compliance, so long as we meet the Nasdaq Capital Market continued listing requirements (except for the bid price requirement) and notify Nasdaq in writing of our intention to cure the deficiency during the second compliance period by implementing a reverse stock split, if necessary.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 assurance can be given that we will regain compliance with the Nasdaq continued listing standards. Failure to regain compliance with all Nasdaq continued listing standards could result in a delisting of our common stock, which could cause Nasdaq to delist our shares of common stock from trading on its exchange. If our shares of common stock were delisted from Nasdaq, we and our stockholders could face significant material adverse consequences including:</w:t>
      </w:r>
    </w:p>
    <w:p>
      <w:pPr>
        <w:spacing w:after="0" w:line="204"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 for our common stock, similar to that of other biopharmaceutical companies, is likely to remain highly volatile. The market price of our common stock may fluctuate significantly for no apparent reason or in response to a number of factors, most of which we cannot control, including, among others:</w:t>
      </w:r>
    </w:p>
    <w:p>
      <w:pPr>
        <w:spacing w:after="0" w:line="19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resulting from uncertainty and general economic conditions;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nonclinical studies and clinical trials of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other regulatory authority to review or approve our product candidates in a timely manner, or at all;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neuroscience therapies in development by other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intellectual property portfolio;</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if approved, to achieve commercial success;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debt and equity markets;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or purchases by our executive officers, directors and significant stockholders;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short positions by holders or non-holders of our stock or warrants;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anonymous or other online investor communities;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issuances of shares of preferred stock in the future</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Restated Articles of Incorporation, as amended (the Articles), permit us to issue up to 10.0 million shares of preferred stock. As a result, our Board could authorize the issuance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to ensure compliance with corporate governance, federal securities law and accounting requirements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that we file annual, quarterly and current reports with respect to our business and financial condition, and the rules and regulations implemented by the SEC, the Sarbanes-Oxley Act of 2002, as amended (the Sarbanes-Oxley Act),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amount of our future losses is uncertain and our quarterly and annual operating results may fluctuate significantly or fall below the expectations of investors or securities analysts, each of which may cause our stock price to fluctuate or decline.</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175" w:lineRule="exact"/>
        <w:rPr>
          <w:sz w:val="20"/>
          <w:szCs w:val="20"/>
          <w:color w:val="auto"/>
        </w:rPr>
      </w:pPr>
    </w:p>
    <w:p>
      <w:pPr>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product candidates or competing product candidates, or any other change in the competitive landscape of our industry,</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enroll and retain subjects who meet our eligibility criteria for participation in our clinical trials, and any delays caused by difficulties in such efforts;</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product candidates, which may change from time to time;</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contract manufacturers;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regulatory approval, which may vary significantly;</w:t>
      </w:r>
    </w:p>
    <w:p>
      <w:pPr>
        <w:spacing w:after="0" w:line="25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and political environments, including the impact of inflation and rising interest rates, and domestic or international political instability;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of potential volatility in our trading price and trading volume, we may incur significant costs from litigation, including class action securities litigation.</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stock market in general, and the Nasdaq and biotechnology and pharmaceutical companies in particular, have experienced extreme price and volume fluctuations that have often been unrelated or disproportionate to the operating performance of these companies. Historically, securities class action litigation has often been brought against companies following periods of volatility in the market price of a company’s securities. For example, purported stockholders of the Company have filed a lawsuits in the United States District Court for the Northern District of California and the District of Nevada against the Company and certain of our executive officers, the members of our Board and certain other parties, claiming, under the U.S. federal securities laws and certain California civil statutes, among other things, allegedly false or misleading statements, and alleged omissions of material facts, related to our public disclosures. We believe all claims are wholly without merit and intend to vigorously defend all claims. These types of litigation could result in substantial costs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 significant diversion of management’s attention and resources, which could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and potential settlements, and damages awarded to plaintiffs, if any.</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significantly dilute all other stockholders.</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substantial dilution to all of our stockholders. We expect to grant equity awards to employees and directors under our stock incentive plans. We may also raise capital through equity financings in the future, as well as securities convertible into equity. As part of our business strategy, we may acquire or make investments in complementary companies, products, or technologies and issue equity and/or debt securities to pay for any such acquisition or investment. Any such issuances resulting in the issuance of additional equity securities likely will cause stockholders to experience significant dilution of their ownership interests and the per share value of our common stock to decline.</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7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have no current plans to pay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your sole source of gain for the foreseeable future.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w:t>
      </w:r>
    </w:p>
    <w:p>
      <w:pPr>
        <w:spacing w:after="0" w:line="2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will dilute the economic and voting rights of our existing stockholders and may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Adverse market or macroeconomic conditions or market volatility resulting from global economic and political developments, including those affecting the financial services industry, could adversely affect our business operations and our financial condition and results of operations.</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Adverse market or macroeconomic and political conditions or market volatility resulting from global economic developments, political activity and uncertainty, high inflation, rising interest rates or other factors, could materially and adversely affect our business operations.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These events could result in a variety of material and adverse impacts on our current and projected business operations and our financial condition and results of operations.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any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that it will no longer deal with us as a customer. In addition, a vendor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 any significant supplier relationships, could cause us to suffer material losses and may have a material adverse impact on our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For example, on July 4, 2025, the United States enacted tax legislation commonly referred to as the One Big Beautiful Bill Act (</w:t>
      </w:r>
      <w:r>
        <w:rPr>
          <w:rFonts w:ascii="Times New Roman" w:cs="Times New Roman" w:eastAsia="Times New Roman" w:hAnsi="Times New Roman"/>
          <w:sz w:val="18"/>
          <w:szCs w:val="18"/>
          <w:i w:val="1"/>
          <w:iCs w:val="1"/>
          <w:color w:val="auto"/>
        </w:rPr>
        <w:t>OBBB Act</w:t>
      </w:r>
      <w:r>
        <w:rPr>
          <w:rFonts w:ascii="Times New Roman" w:cs="Times New Roman" w:eastAsia="Times New Roman" w:hAnsi="Times New Roman"/>
          <w:sz w:val="18"/>
          <w:szCs w:val="18"/>
          <w:color w:val="auto"/>
        </w:rPr>
        <w:t>). In accordance with U.S. GAAP, the Company will account for the tax effects of changes in tax law in the period of enactment which is the quarter ended September 30, 2025. The Company is currently in the process of analyzing the tax impacts of the OBBB Act, but we do not expect a material impact on our financial statements. We urge investors to consult with their legal and tax advisers regarding the implications of potential changes in tax laws on an investment in our common stock.</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credits to offset future taxable income may be subject to certain limitations.</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of March 31, 2026, we had U.S. federal net operating loss carryforwards totaling $314.3 million. Federal net operating loss carryforwards of approximately $80.6 million generated through our fiscal year ended March 31, 2018 will expire in our fiscal years ending March 31, 2025 through March 31, 2038. Federal net operating loss carryforwards of approximately $233.7 million generated in fiscal years ending after March 31, 2018 will carry forward indefinitely, but are subject to an 80% taxable income limitation. As of March 31, 2026, we had state net operating loss carryforwards totaling $63.7 million, which expire at various dates between 2029 and 2045. As of March 31, 2026, we also had U.S. federal and state research and development tax credit carryforwards of $8.6 million and $2.2 million, respectively. The federal tax credits will expire at various dates beginning with our fiscal year ending March 31, 2029, unless previously utilized. The state tax credits do not expire and will carry forward indefinitely until utilized. The net operating losses which are limited in life and tax credit carryforwards could expire unused and be unavailable to offset future income tax liabilities. In addition, in general, under Sections 382 and 383 of the Internal Revenue Code of 1986, as amended (the Code) a corporation that undergoes an “ownership change” is subject to limitations on its ability to utilize its pre-change net operating losses (NOLs) or tax credits or credits, to offset future taxable income or taxes. For these purposes, an ownership change generally occurs where the aggregate stock ownership of one or more stockholders or groups of stockholders who own at least 5% of a corporation’s stock increase their ownership by more than 50 percentage points over their lowest ownership percentage within a specified testing period. Our existing NOLs or credits may be subject to limitations arising from previous ownership changes, and if we undergo an ownership change in the future,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 If we determine that an ownership change has occurred and our ability to use our historical NOLs or credits is materially limited, it would harm our future operating results by effectively increasing our future tax obligations. Section 382 and 383 of the Code would apply to all net operating loss and tax credit carryforwards, whether the carryforward period is indefinite or not.</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Furthermore, our ability to utilize our historical NOLs or credits is conditioned upon us attaining profitability and generating U.S. federal and state taxable income. We are a clinical-stage biopharmaceutical company with a limited operating history. We have incurred significant net losses since our inception and anticipate that we will continue to incur significant losses for the foreseeable future; and therefore, we do not know whether or when we will generate the U.S. federal or state taxable income necessary to utilize our historical NOLs or credits that may be subject to limitation by Sections 382 and 383 of the Code.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we conduct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identify any future material weaknesses, the accuracy and timing of our financial reporting may be adversely affected, we may be unable to maintain compliance with securities law requirements regarding timely filing of periodic reports or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Independent securities research analysts may establish and publish their own periodic analysis of and projections relating to our operation and prospects. These analyses and projections may vary widely and may not accurately predict the results we actually achieve. Our share price may decline if our actual results do not match the analyses, opinions and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common stock may fluctuate due to a variety of factors, including:</w:t>
      </w:r>
    </w:p>
    <w:p>
      <w:pPr>
        <w:spacing w:after="0" w:line="25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rising or unchanged interest rates, inflation, fuel prices, foreign currency fluctuations, international tariffs, boycotts, curtailment of trade and other business restrictions, social, political and economic risks, natural disasters and acts of war or terrorism, such as the conflicts involving Ukraine and Russia, or Israel and its surrounding regions.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shares of our common stock regardless of our operating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We implement reasonable administrative, technical and procedural safeguards to manage cybersecurity risks, including multi-layered technical security measures, mandatory user security awareness and training, access control policies and activity monitoring. Additionally, we engage third-party cybersecurity experts to assess the security of our network.</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design and assess our program based on the NIST Special Publication 800-171 and the Cybersecurity Maturity Model Certification (CMMC) Level 1. This does not imply that we meet any particular technical standards, specifications, or requirements, only that we use the NIST CSF and CMMC maturity models as a guide to help us identify, assess, and manage cybersecurity risks relevant to our business.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cybersecurity risk management program is designed to be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225" w:lineRule="exact"/>
        <w:rPr>
          <w:sz w:val="20"/>
          <w:szCs w:val="20"/>
          <w:color w:val="auto"/>
        </w:rPr>
      </w:pPr>
    </w:p>
    <w:p>
      <w:pPr>
        <w:ind w:left="660" w:hanging="4"/>
        <w:spacing w:after="0" w:line="266" w:lineRule="auto"/>
        <w:tabs>
          <w:tab w:leader="none" w:pos="78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information technology environment;</w:t>
      </w:r>
    </w:p>
    <w:p>
      <w:pPr>
        <w:spacing w:after="0" w:line="189" w:lineRule="exact"/>
        <w:rPr>
          <w:rFonts w:ascii="Times New Roman" w:cs="Times New Roman" w:eastAsia="Times New Roman" w:hAnsi="Times New Roman"/>
          <w:sz w:val="18"/>
          <w:szCs w:val="18"/>
          <w:color w:val="auto"/>
        </w:rPr>
      </w:pPr>
    </w:p>
    <w:p>
      <w:pPr>
        <w:ind w:left="660" w:right="20" w:hanging="4"/>
        <w:spacing w:after="0" w:line="266" w:lineRule="auto"/>
        <w:tabs>
          <w:tab w:leader="none" w:pos="7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(i) our cybersecurity risk assessment processes, (ii) our security controls, and (iii) our response to cybersecurity incidents;</w:t>
      </w:r>
    </w:p>
    <w:p>
      <w:pPr>
        <w:spacing w:after="0" w:line="18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238"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238"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238"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 that have access to our critical systems and information.</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There can be no assurance that our cybersecurity risk management program and processes, including our policies, controls or procedures, will be fully implemented, complied with or effective in protecting our systems and information.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(the Board) considers cybersecurity risk as part of its risk oversight function and the Audit Committee (the Committee) contributes to oversight of cybersecurity risks.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receives periodic reports from management on our cybersecurity risks. In addition, management updates the Committee, as necessary or appropriate, regarding any material cybersecurity incidents, as well as any incidents with lesser impact potential, as appropriate.</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Board may also receive briefings from management on our cyber risk management program, and may receive presentations on cybersecurity topics from our Chief Financial Officer (CFO) or external experts as part of the Board's continuing education on topics that impact public companies. Members of our management team, including our CFO, Head of Information Technology, General Counsel and our Vice President of Quality Assurance, are responsible for assessing and managing our material risks from cybersecurity threats. This cybersecurity management team has primary responsibility for our overall cybersecurity risk management program and oversees our retained external cybersecurity experts, which includes individuals with significant experience running or overseeing cybersecurity programs at similarly sized biotechnology organizations and navigating the associated risk landscape.</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cybersecurity management team supervises efforts to prevent, detect, mitigate, and remediate cybersecurity risks and incidents through various means, which may include briefings from cybersecurity experts;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headquarters and laboratories are located at 343 Allerton Avenue, South San Francisco, California 94080, where we occupy approximately 10,900 square feet of office and lab space under a lease expiring on July 31, 2027, which contains a 5-year option to renew. We believe that our facilities are suitable and adequate for our current and foreseeable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Cesario et al. v. Vistagen Therapeutics, Inc. et 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Northern District of California</w:t>
      </w:r>
      <w:r>
        <w:rPr>
          <w:rFonts w:ascii="Times New Roman" w:cs="Times New Roman" w:eastAsia="Times New Roman" w:hAnsi="Times New Roman"/>
          <w:sz w:val="18"/>
          <w:szCs w:val="18"/>
          <w:color w:val="auto"/>
        </w:rPr>
        <w:t>). On February 13, 2025, John Cesario and David Preka (the Cesario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Plaintiffs) filed a civil action, </w:t>
      </w:r>
      <w:r>
        <w:rPr>
          <w:rFonts w:ascii="Times New Roman" w:cs="Times New Roman" w:eastAsia="Times New Roman" w:hAnsi="Times New Roman"/>
          <w:sz w:val="18"/>
          <w:szCs w:val="18"/>
          <w:i w:val="1"/>
          <w:iCs w:val="1"/>
          <w:color w:val="auto"/>
        </w:rPr>
        <w:t>pro se</w:t>
      </w:r>
      <w:r>
        <w:rPr>
          <w:rFonts w:ascii="Times New Roman" w:cs="Times New Roman" w:eastAsia="Times New Roman" w:hAnsi="Times New Roman"/>
          <w:sz w:val="18"/>
          <w:szCs w:val="18"/>
          <w:color w:val="auto"/>
        </w:rPr>
        <w:t xml:space="preserve"> (i.e., acting on their own behalf rather than through an attorney), in the United States District Court for the Northern District of California (Case No. 4:25-cv-01510) (the Complaint) against the Company and its Board, certain of its executive officers, professional services and financial advisors, and industry analysts. The Cesario Plaintiffs filed an amended complaint on March 10, 2025 (the First Amended Complaint). On September 3, 2025, the Company filed a motion to dismiss the First Amended Complaint. On October 9, 2025, the Court granted the Cesario Plaintiffs leave to amend the First Amended Complaint, and on November 3, 2025, the Cesario Plaintiffs filed a proposed second amended complaint (the Second Amended Complaint). On December 4, 2025, the Court granted the Cesario Plaintiffs leave to file the Second Amended Complaint, and the Second Amended Complaint was filed with the Court on the same day. The Court also denied the Company’s motion to dismiss the First Amended Complaint as moot at the same time. On December 24, 2025, the Company filed a motion to dismiss the Second Amended Complaint. The Cesario Plaintiffs also purported to serve one of the Individual Defendants, Jon Saxe, who filed a motion to dismiss the Second Amended Complaint at the Court’s instruction on February 22, 2026. A court-ordered settlement conference is currently scheduled for June 15, 2026. A hearing on the Company and Mr. Saxe’s motions to dismiss the Second Amended Complaint is currently scheduled for July 14, 2026.</w:t>
      </w:r>
    </w:p>
    <w:p>
      <w:pPr>
        <w:spacing w:after="0" w:line="2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Cesario Plaintiffs seek compensatory and punitive damages, as well as fees and costs. The operative complaint alleges violations of Section 10(b) of the Exchange Act, and Rule 10b-5 promulgated thereunder, along with other causes of action. The Cesario Plaintiffs allege, among other things, that the Company, and certain of its executive officers, made misleading statements and material omissions in various public disclosures concerning clinical trials for certain of the Company’s product candidates, which they allege caused plaintiffs to incur compensable losses. The Complaint also alleges that the Board, certain of the Company’s professional and financial advisors, and industry analysts aided and abetted the alleged wrongful conduct. The Company believes all allegations asserted in the Complaint are wholly without merit, and intends to defend them vigorously.</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Cesario et al. v. Vistagen Therapeutics, Inc. et 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District of Nevada</w:t>
      </w:r>
      <w:r>
        <w:rPr>
          <w:rFonts w:ascii="Times New Roman" w:cs="Times New Roman" w:eastAsia="Times New Roman" w:hAnsi="Times New Roman"/>
          <w:sz w:val="18"/>
          <w:szCs w:val="18"/>
          <w:color w:val="auto"/>
        </w:rPr>
        <w:t>). On April 10, 2026, the Cesario Plaintiffs filed a stockholder derivative action,</w:t>
      </w:r>
      <w:r>
        <w:rPr>
          <w:rFonts w:ascii="Times New Roman" w:cs="Times New Roman" w:eastAsia="Times New Roman" w:hAnsi="Times New Roman"/>
          <w:sz w:val="18"/>
          <w:szCs w:val="18"/>
          <w:i w:val="1"/>
          <w:iCs w:val="1"/>
          <w:color w:val="auto"/>
        </w:rPr>
        <w:t xml:space="preserve"> pro se</w:t>
      </w:r>
      <w:r>
        <w:rPr>
          <w:rFonts w:ascii="Times New Roman" w:cs="Times New Roman" w:eastAsia="Times New Roman" w:hAnsi="Times New Roman"/>
          <w:sz w:val="18"/>
          <w:szCs w:val="18"/>
          <w:color w:val="auto"/>
        </w:rPr>
        <w:t>, in the District of Nevada (Case No. 2:26-cv-01128) against the Company, and certain current and former Board members, executive officers,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an advisor (the Cesario Derivative Complaint). On May 5, 2026, the Cesario Plaintiffs filed an amended derivative complaint (the Amended Cesario Derivative Complaint). The Cesario Plaintiffs purport to be current Company stockholders, and the allegations are primarily the same as those made in the Second Amended Complaint. The Company believes all allegations asserted in the Amended Cesario Derivative Complaint are wholly without merit, and intends to defend them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Securities Class Action Lawsuit and Derivative Actions in the Northern District of California. </w:t>
      </w:r>
      <w:r>
        <w:rPr>
          <w:rFonts w:ascii="Times New Roman" w:cs="Times New Roman" w:eastAsia="Times New Roman" w:hAnsi="Times New Roman"/>
          <w:sz w:val="18"/>
          <w:szCs w:val="18"/>
          <w:color w:val="auto"/>
        </w:rPr>
        <w:t>On January 15, 2026, a putative class action complaint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 Action Complaint) was filed by alleged stockholder Dan Eller against the Company and certain of its executive officers (the Class Action Defendants) in the United States District Court for the Northern District of California, captioned </w:t>
      </w:r>
      <w:r>
        <w:rPr>
          <w:rFonts w:ascii="Times New Roman" w:cs="Times New Roman" w:eastAsia="Times New Roman" w:hAnsi="Times New Roman"/>
          <w:sz w:val="18"/>
          <w:szCs w:val="18"/>
          <w:i w:val="1"/>
          <w:iCs w:val="1"/>
          <w:color w:val="auto"/>
        </w:rPr>
        <w:t>Eller v. Vistagen Therapeutics, Inc. et al</w:t>
      </w:r>
      <w:r>
        <w:rPr>
          <w:rFonts w:ascii="Times New Roman" w:cs="Times New Roman" w:eastAsia="Times New Roman" w:hAnsi="Times New Roman"/>
          <w:sz w:val="18"/>
          <w:szCs w:val="18"/>
          <w:color w:val="auto"/>
        </w:rPr>
        <w:t>. (Case No. 3:26-cv-00427) (the Class Action). The Class Action Complaint alleges that the Class Action Defendants disseminated false and misleading statements and/or concealed material adverse facts concerning the Company’s PALISADE-3 Phase 3 clinical trial. The Class Action Complaint asserts claims under Sections 10(b) and 20(a) of the Exchange Act and Rule 10b-5 promulgated thereunder. On April 16, 2026, the Court appointed a Lead Plaintiff. Lead Plaintiff seeks to represent a putative class of stockholders who purchased or otherwise acquired Company securities between April 1, 2024 and December 16, 2025, both dates inclusive. Plaintiff seeks unspecified damages. The Company believes all allegations asserted in the Class Action Complaint are wholly without merit, and intends to defend them vigorously.</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Two stockholder derivative actions were filed against the Company, as nominal defendant, and certain of the Company's current and former officers and directors, in the United States District Court for the Northern District of California, captioned </w:t>
      </w:r>
      <w:r>
        <w:rPr>
          <w:rFonts w:ascii="Times New Roman" w:cs="Times New Roman" w:eastAsia="Times New Roman" w:hAnsi="Times New Roman"/>
          <w:sz w:val="18"/>
          <w:szCs w:val="18"/>
          <w:i w:val="1"/>
          <w:iCs w:val="1"/>
          <w:color w:val="auto"/>
        </w:rPr>
        <w:t>Do v. Singh et al</w:t>
      </w:r>
      <w:r>
        <w:rPr>
          <w:rFonts w:ascii="Times New Roman" w:cs="Times New Roman" w:eastAsia="Times New Roman" w:hAnsi="Times New Roman"/>
          <w:sz w:val="18"/>
          <w:szCs w:val="18"/>
          <w:color w:val="auto"/>
        </w:rPr>
        <w:t xml:space="preserve">. (Case No. 4:26-cv-02656) (the Do Derivative Complaint), on March 26, 2026, and </w:t>
      </w:r>
      <w:r>
        <w:rPr>
          <w:rFonts w:ascii="Times New Roman" w:cs="Times New Roman" w:eastAsia="Times New Roman" w:hAnsi="Times New Roman"/>
          <w:sz w:val="18"/>
          <w:szCs w:val="18"/>
          <w:i w:val="1"/>
          <w:iCs w:val="1"/>
          <w:color w:val="auto"/>
        </w:rPr>
        <w:t>Strekal v. Singh et al</w:t>
      </w:r>
      <w:r>
        <w:rPr>
          <w:rFonts w:ascii="Times New Roman" w:cs="Times New Roman" w:eastAsia="Times New Roman" w:hAnsi="Times New Roman"/>
          <w:sz w:val="18"/>
          <w:szCs w:val="18"/>
          <w:color w:val="auto"/>
        </w:rPr>
        <w:t>. (Case No. 3:26-cv-04480), on May 13, 2026 (the Strekal Derivative Complaint and, together with the Do Derivative Complaint, the Derivative Complaints). The plaintiffs in both Derivative Complaints purport to be current Company stockholders, and the allegations are primarily the same as those made in the Class Action Complaint. A motion to relate the Derivative Actions to the Class Action is pending and, once granted, a stipulation consolidating the Derivative Actions and staying the consolidated Derivative Actions pending resolution of the Class Action will be filed with the Court. The Company believes all allegations asserted in the Derivative Complaints are wholly without merit, and intends to defend them vigorously.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lawsuits against the Company and certain of its officers or directors may be filed in the future. If additional similar complaints are filed, absent new or different allegations that are material, the Company will not necessarily announce such additional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“VTGN”.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12, 2026, there were approximately 338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since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Part III, Item 12 of this Annual Report.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This Annual Report on Form 10-K (Report) includes forward-looking statements. All statements contained in this Report other than statements of historical fact, including statements regarding our future outcomes and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our ability to successfully complete ongoing or future clinical trials of our product candidates within estimated timelines or at all, receive regulatory approval or be commercially successful; our dependence on third-party collaborators for the development, manufacturing, regulatory approval, and/or commercialization of our product candidates and other aspects of our business, which are outside of our full control; the effect of regulation by the U.S. Food and Drug Administration (the FDA) and other domestic and foreign regulatory agencies; current and potential future healthcare reforms; our ability to obtain, maintain and enforce patents on our products if/or when we receive regulatory approval of any of our products; the impact of competitive products, product development, commercialization potential and technological difficulties; the effect of our accounting policies; and other risks as detailed in the section entitled “Risk Factors” in this Annual Report. Further, even if our product candidates appear promising at various stages of development, our share price may decrease such that we are unable to raise additional capital without significant dilution or other terms that may be unacceptable to our management and our Board of Directors (the Board) or disadvantageous to our stockholders.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Moreover, the biopharmaceutical industry in which we operate is very competitive and rapidly changing. New challenges and risks emerge frequently. It is not possible for our management or Board to predict all challenges and risks we will face, nor can we assess the impact of all factors on our business or the extent to which any factor, or combination of factors, may cause actual results to differ materially from those contained in any forward-looking statements we may make in this Annual Report or otherwise. In light of these risks, challenges, uncertainties and assumptions, the future events and trends discussed in this Annual Report may not occur and actual results could differ materially and adversely from those anticipated or implied in the forward-looking statements.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Accordingly, you should not rely upon the forward-looking statements in this Annual Report as predictions of future events. The events and circumstances reflected in the forward-looking statements in this Annual Report may not be achieved or occur in part or at all. Although we believe that the expectations reflected in the forward-looking statements in this Annual Report are reasonable as of the date of this Annual Report, we cannot guarantee future results, levels of activity, performance or achievements. We are under no duty to update any of the forward-looking statements in this Annual Report after the date of this Annual Report or to conform the forward-looking statements to actual results or revised expectations. If we do update one or more of the forward-looking statements in this Annual Report, no inference should be drawn that we will make additional updates with respect to those or any other forward-looking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late clinical-stage biopharmaceutical company leveraging a deep understanding of nose-to-brain neurocircuitry to develop and commercialize a new class of non-systemic intranasal product candidates called pherines. Our broad and diverse neuroscience pipeline currently consists of five clinical-stage pherine product candidates, each with a novel mechanism of action (MOA) and positive clinical data in their targeted indication(s). Pherines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w:t>
      </w:r>
    </w:p>
    <w:p>
      <w:pPr>
        <w:spacing w:after="0" w:line="22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Our most advanced intranasal pherine product candidate is fasedienol, which is being investigated in our U.S. registration-directed PALISADE Program for the acute treatment of social anxiety disorder (SAD). Our PALISADE Program includes the PALISADE-1, PALISADE-2, PALISADE-3, and PALISADE-4 Phase 3 clinical trials and a small exploratory Phase 2 repeat dose study (the Repeat Dose Study). PALISADE-2 achieved its primary efficacy endpoint, as reported in August 2023. Neither PALISADE-1, completed in 2022, nor PALISADE-3, the randomized portion of which was completed in December 2025, achieved its primary endpoint.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On May 8, 2026, we announced that the last patient had completed the last visit in the randomized portion of PALISADE-4, and we expect to announce topline results from the randomized portion of PALISADE-4 in the second quarter of calendar 2026. The FDA has granted Fast Track designation for the investigation of fasedienol for the acute treatment of SAD. We believe PALISADE-4, if successful, together with the positive results from PALISADE-2 and confirmatory evidence from our overall fasedienol development program in SAD, including the Repeat Dose Study and Open Label Extension data, as well as confirmatory evidence we plan to generate based on FDA feedback to support the clinical meaningfulness of the duration and magnitude of effect of fasedienol, may establish substantial evidence of the effectiveness of fasedienol in support of a potential New Drug Application (NDA) submission to the FDA for the acute treatment of SAD.</w:t>
      </w:r>
    </w:p>
    <w:p>
      <w:pPr>
        <w:spacing w:after="0" w:line="21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We have also reported positive results from an exploratory Phase 2A clinical trial for each of our next most advanced pherine product candidates, itruvone for treatment of major depressive disorder, and refisolone (formerly PH80) for both vasomotor symptoms (hot flashes) due to menopause and premenstrual dysphoric disorder (PMDD), as well as a pilot Phase 2A study of PH15 for improvement of psychomotor impairment due to mental fatigue and an exploratory Phase 2A study of PH284 for treatment of cancer cachexia. In April 2026, we announced receipt of a 'Study May Proceed' letter from the FDA under our U.S. Investigational New Drug (IND) application for refisolone for the treatment of moderate to severe vasomotor symptoms (hot flashes) due to menopause.</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2026, our Board of Directors approved a reduction of approximately 20% in our workforce, intended to provide disciplined cash management while prioritizing efficient execution of the ongoing clinical studies in our PALISADE Program. See 'Liquidity and Capital Resources' below for additional discussion.</w:t>
      </w:r>
    </w:p>
    <w:p>
      <w:pPr>
        <w:spacing w:after="0" w:line="19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passionate about developing transformative treatment options with potential to meet clear and growing unmet needs and bring meaningful relief to patients underserved by the current standard of care for multiple highly prevalent indications, all while delivering long-term value to our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wholly-owned subsidiaries consist of Pherin Pharmaceuticals, Inc, a Delaware corporation (Pherin), which we acquired in February 2023, and Vistastem, Inc., a California corporation founded in 1998 (Vistastem).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Sublicense and Other Revenue</w:t>
      </w:r>
    </w:p>
    <w:p>
      <w:pPr>
        <w:spacing w:after="0" w:line="2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Sublicense and other revenue consist of revenue recognized under the AffaMed Agreement and Negotiation Agreement with Fuji Pharma. Revenue is recognized as identified performance obligations are satisfied. See Note 11 to our consolidated financial statements for a complete description of the AffaMed Agreement and Fuji Pharma Negotiation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date, our research and development expenses consist primarily of external and internal costs related to the development of our product candidates and development programs. Our research and development expenses primarily include:</w:t>
      </w:r>
    </w:p>
    <w:p>
      <w:pPr>
        <w:spacing w:after="0" w:line="203"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including:</w:t>
      </w:r>
    </w:p>
    <w:p>
      <w:pPr>
        <w:spacing w:after="0" w:line="238"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2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planning, preparing for and conducting clinical trials, including investigator grants and site payments, and pass-through expenses and expenses incurred under agreements with CROs, central laboratories and other vendors and service providers engaged to conduct our trials;</w:t>
      </w:r>
    </w:p>
    <w:p>
      <w:pPr>
        <w:spacing w:after="0" w:line="196"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product candidates, including under agreements with third parties, such as consultants and CROs;</w:t>
      </w:r>
    </w:p>
    <w:p>
      <w:pPr>
        <w:spacing w:after="0" w:line="202" w:lineRule="exact"/>
        <w:rPr>
          <w:rFonts w:ascii="Times New Roman" w:cs="Times New Roman" w:eastAsia="Times New Roman" w:hAnsi="Times New Roman"/>
          <w:sz w:val="18"/>
          <w:szCs w:val="18"/>
          <w:color w:val="auto"/>
        </w:rPr>
      </w:pPr>
    </w:p>
    <w:p>
      <w:pPr>
        <w:ind w:left="1300" w:hanging="320"/>
        <w:spacing w:after="0" w:line="266" w:lineRule="auto"/>
        <w:tabs>
          <w:tab w:leader="none" w:pos="133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consultants for chemistry, manufacturing, and control (CMC) development, and other manufacturing-related services;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hanging="320"/>
        <w:spacing w:after="0" w:line="266" w:lineRule="auto"/>
        <w:tabs>
          <w:tab w:leader="none" w:pos="129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compounds for use in our nonclinical studies and clinical trials, including under agreements with third parties, such as consultants and third-party contract manufacturers; and</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development regulatory requirements.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w:t>
      </w:r>
    </w:p>
    <w:p>
      <w:pPr>
        <w:spacing w:after="0" w:line="238"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share-based compensation expenses for employees engaged in research and development functions;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and developing preclinical study materials; and</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allocated expenses for rent and maintenance of facilities, and supplies.</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research and development expenses may vary significantly based on a wide variety of factors, such as:</w:t>
      </w:r>
    </w:p>
    <w:p>
      <w:pPr>
        <w:spacing w:after="0" w:line="239"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preclinical development activities and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regulatory approval;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each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appropriate patients eligible for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 during such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including the FDA and non-U.S. regulators;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 if any;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238"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the financial markets, the global economy, the supply chain and our expenses due to pandemics or other epidemic diseases, geopolitical instability, inflation, rising interest rates and other factors;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strategic collaborations or other arrangements.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The process of conducting the necessary preclinical and clinical research and development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salaries, bonuses, related benefits and stock-based compensation expense for personnel in executive, legal, finance and administrative functions; professional fees for legal, consulting, accounting and audit services; and travel expenses, technology costs and other allocated expenses. We expense general and administrative expenses in the periods in which they are incurred.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114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54,974</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39,375</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17,084</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73,395</w:t>
            </w:r>
          </w:p>
        </w:tc>
        <w:tc>
          <w:tcPr>
            <w:tcW w:w="3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56,459</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(72,126)</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(55,973)</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(69,678)</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(51,411)</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(69,685)</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Sublicense and Other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Sublicense and other revenue was $1.3 million for the year ended March 31, 2026, compared to $0.5 million for the year ended March 31, 2025, an increase of $0.8 million. The increase in sublicense and other revenue is due to timing of revenue recognized under the AffaMed Agreement.</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March 31, 2026, approximately $0.4 million of deferred revenue under the AffaMed Agreement remained to be recognized, which we expect to recognize in fiscal 2027. Approximately $1.3 million of deferred revenue under the Negotiation Agreement with Fuji Pharma also remained as of March 31, 2026. The recognition of remaining deferred revenue under the Negotiation Agreement is dependent on the outcome of the Exclusive Negotiation Period, as further described in Note 11 to our consolidated financial statements included with this Annual Report.</w:t>
      </w:r>
    </w:p>
    <w:p>
      <w:pPr>
        <w:spacing w:after="0" w:line="2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amount and timing of future sublicense and other revenue will also depend on the achievement of milestones under existing agreements, if any, and the execution of new licensing or sublicensing agreements,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March 31, 2026 and 2025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620" w:type="dxa"/>
            <w:vAlign w:val="bottom"/>
            <w:tcBorders>
              <w:bottom w:val="single" w:sz="8" w:color="auto"/>
            </w:tcBorders>
          </w:tcPr>
          <w:p>
            <w:pPr>
              <w:spacing w:after="0"/>
              <w:rPr>
                <w:sz w:val="20"/>
                <w:szCs w:val="20"/>
                <w:color w:val="auto"/>
              </w:rPr>
            </w:pPr>
          </w:p>
        </w:tc>
      </w:tr>
      <w:tr>
        <w:trPr>
          <w:trHeight w:val="223"/>
        </w:trPr>
        <w:tc>
          <w:tcPr>
            <w:tcW w:w="75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and nonclinical studies and development expenses by program</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Fasedienol</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36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21,892</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clinical stage candidates</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36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r>
      <w:tr>
        <w:trPr>
          <w:trHeight w:val="22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clinical and nonclinical studies and development expenses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39,743</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24,995</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3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54,974</w:t>
            </w: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39,375</w:t>
            </w:r>
          </w:p>
        </w:tc>
      </w:tr>
      <w:tr>
        <w:trPr>
          <w:trHeight w:val="21"/>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Research and development expense was $55.0 million for the year ended March 31, 2026 compared to $39.4 million for the year ended March 31, 2025, an increase of $15.6 million or 39.6%. The increase was primarily driven by higher clinical trial activity within our fasedienol program, partially offset by lower spend on our other clinical-stage pherine product candidates.</w:t>
      </w:r>
    </w:p>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Clinical and nonclinical studies and development expenses by program increased by $14.7 million, from $25.0 million in fiscal 2025 to $39.7 million in fiscal 2026. PALISADE Program expenses increased by $16.6 million, from $21.9 million in fiscal 2025 to $38.5 million in fiscal 2026. The increase was attributable to three clinical studies within our U.S. registration-directed PALISADE Program, including our PALISADE-3 and PALISADE-4 Phase 3 clinical trials and the Repeat Dose Study conducted concurrently during fiscal 2026. By comparison, fiscal 2025 reflected only a partial period of activity for these studies as each was in earlier stages of enrollment and start-up. The fiscal 2026 increase reflects higher CRO costs, investigator and site payments, and pass-through expenses associated with the expanded scale of patient enrollment, dosing, and trial conduct activities.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clinical-stage product candidates under active development include refisolone and itruvone. Expenses for these candidates decreased $1.9 million, from $3.1 million in fiscal 2025 to $1.2 million in fiscal 2026, primarily reflecting reduced clinical and nonclinical activity as we prioritized resources toward our PALISADE Program.</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Salaries and benefits expense increased by $1.0 million from $9.4 million in fiscal 2025 to $10.4 million in fiscal 2026, primarily due to increased headcount supporting our clinical development activities. Stock-based compensation decreased by $0.2 million from $1.9 million in fiscal 2025 to $1.7 million in fiscal 2026. Consulting and professional services expenses were substantially unchanged at $1.6 million in each of fiscal 2026 and 2025. Occupancy and all other costs were also substantially unchanged at $1.5 million in each of fiscal 2026 and 2025.</w:t>
      </w:r>
    </w:p>
    <w:p>
      <w:pPr>
        <w:spacing w:after="0" w:line="19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expect that our research and development expense may fluctuate over the next fiscal year. The fluctuation depends on when we conduct nonclinical studies and clinical trials, and expand third-party contract manufacturing and regulatory activities required to advance further research and development of our current pherine product candidates and additional pherine product candidates, and when and to what extent we maintain, expand, protect and enforce our intellectual property portfolio, and hire additional headcount. At this time, we cannot accurately estimate or know the nature, timing and costs of these efforts that will be necessary to complete the preclinical and clinical development of any pherine product candidates we may develop. A change in the outcome of any number of variables with respect to product candidates we may develop could significantly change the costs and timing associated with the development of that product candidate.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was $18.4 million for the year ended March 31, 2026, compared to $17.1 million for the year ended March 31, 2025, an increase of $1.3 million or 7.8%. The increase was primarily attributable to higher corporate legal expense, including costs associated with the defense of pending shareholder litigation, higher salaries and wages, and higher consulting fees, partially offset by lower incentive bonus expense in fiscal 2026.</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expectation for general and administrative expense is largely dependent on the results of the randomized portion of our PALISADE-4 clinical trial. We expect that our general and administrative expenses may increase substantially over the next fiscal year in the event of positive results from PALISADE-4. Under a positive scenario, we will prepare to submit a NDA to the FDA and begin commercialization efforts to support product launch or partnering of commercialization for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fasedienol. However, in the event of negative results from PALISADE-4, we expect to further cash conservation efforts that were implemented following the announcement of negative results from the randomized portion of our PALISADE-3 clinical trial, resulting in an anticipated decrease to general and administrative expense.</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net was $2.4 million for the year ended March 31, 2026, compared to $4.6 million for the year ended March 31, 2025, a decrease of $2.1 million, or 46%. The decrease was primarily attributable to lower average balances of cash, cash equivalents, and marketable securities during fiscal 2026 as compared to fiscal 2025, reflecting the use of cash to fund our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As of March 31, 2026, we have financed our operations and technology acquisitions primarily through the issuance and sale of our equity securities for cash proceeds of approximately $371.2 million, as well as from an aggregate of approximately $22.7 million of government research grant awards (excluding the fair market value of government-sponsored and funded clinical trials), strategic collaboration payments, intellectual property licensing payments, and other revenues. Additionally, we have issued equity securities with an approximate value at issuance of $41.3 million for non-cash acquisitions of product licenses, the Pherin Acquisition, and in settlements of certain liabilities, including liabilities for professional services rendered to us or as compensation for such services.</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May 2021, we entered into an Open Market Sale Agreement (the Sales Agreement) with Jefferies LLC (Jefferies) as sales agent, with respect to an at-the-market offering program (the ATM) under which we were permitted, at our option, to offer and sell, from time to time, shares of our common stock having an aggregate offering price of up to $75.0 million through Jefferies. The aggregate offering price available under the Sales Agreement was increased to $100.0 million in February 2024 and to $175.0 million in June 2025. During our fiscal years ended March 31, 2026 and 2025, we sold an aggregate of 10,403,244 and 1,108,587 shares, respectively, under the Sales Agreement, for net proceeds of $30.6 million and $3.0 million, respectively, after sales agent commissions. We pay Jefferies a commission of up to three percent (3.0%) of the aggregate gross proceeds from any sales under the Sales Agreement.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2025, we had cash, cash equivalents, and marketable securities of $45.4 million and $80.5 million, respectively. As of June 15, 2026, the issuance date of the consolidated financial statements in this Annual Report, we concluded that substantial doubt exists about our ability to continue as a going concern for a period of at least twelve months from the date these consolidated financial statements are issued.</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When necessary and/or advantageous, we will seek additional capital to fund our planned operations through, among other options, (i) sales of our equity and/or debt securities in one or more public offerings and/or private placements, including sales of our securities under the Sales Agreement, (ii) non-dilutive government grants and research awards and/or (iii) non-dilutive strategic partnering collaborations to advance development and commercialization of our product candidates. However, no assurance can be provided that any such sales of our securities, awards, agreements or collaborations will occur in the future. While we may make additional sales of our equity securities, we do not have an obligation to do so.</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and commercialization of our product candidates, as well as support our operating activities, we plan to seek substantial additional financing, including both equity-based and/or debt-based capital and potentially from non-dilutive sources other than debt-based capital, and continue to carefully manage our operating costs, including, but not limited to, our clinical, nonclinical, and pre-commercialization programs. However, there can be no assurance that future financing will be available to us in sufficient amounts, in a timely manner, or on terms acceptable to us, if at all, or that current or future development and commercialization collaborations will generate revenue from future potential milestone payments or otherwise. See Note 2 to our consolidated financial statements contained in this Annual Report for additional information regarding our going concern assessment.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fiscal years stated (in thousands):</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73"/>
        </w:trPr>
        <w:tc>
          <w:tcPr>
            <w:tcW w:w="63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360" w:type="dxa"/>
            <w:vAlign w:val="bottom"/>
            <w:tcBorders>
              <w:bottom w:val="single" w:sz="8" w:color="auto"/>
            </w:tcBorders>
          </w:tcPr>
          <w:p>
            <w:pPr>
              <w:spacing w:after="0"/>
              <w:rPr>
                <w:sz w:val="24"/>
                <w:szCs w:val="24"/>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(66,436)</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30,971</w:t>
            </w:r>
          </w:p>
        </w:tc>
        <w:tc>
          <w:tcPr>
            <w:tcW w:w="3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(52,035)</w:t>
            </w:r>
          </w:p>
        </w:tc>
      </w:tr>
      <w:tr>
        <w:trPr>
          <w:trHeight w:val="230"/>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w:t>
            </w:r>
          </w:p>
        </w:tc>
        <w:tc>
          <w:tcPr>
            <w:tcW w:w="3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34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67,131</w:t>
            </w:r>
          </w:p>
        </w:tc>
      </w:tr>
      <w:tr>
        <w:trPr>
          <w:trHeight w:val="21"/>
        </w:trPr>
        <w:tc>
          <w:tcPr>
            <w:tcW w:w="6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March 31, 2026 was $66.4 million, consisting primarily of our net loss of $69.7 million, adjusted for $4.2 million of non-cash charges primarily related to stock-based compensation expense and amortization of our operating lease right-of-use asset, and a $0.9 million use of cash for net changes in operating assets and liabilities.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March 31, 2025 was $42.1 million, consisting primarily of our net loss of $51.4 million, adjusted for $4.5 million of non-cash charges primarily related to stock-based compensation expense and amortization of our operating lease right-of-use asset, and $4.8 million for net changes in operating assets and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March 31, 2026 was $0.9 million, consisting of purchases of marketable securities and property and equipment, partially offset by the sale and maturity of marketable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March 31, 2025 was $13.1 million, consisting primarily of net purchases of marketable securities and, to a lesser extent,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March 31, 2026 was $31.0 million, consisting primarily of net proceeds from the sale of our common stock in ATM transactions under the Sales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March 31, 2025 was $3.2 million, consisting primarily of net proceeds from the sale of our common stock in ATM transactions under the Sales Agreement and to a lesser extent, proceeds from activity in our Employee Stock 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Based on our current operating plan, we believe that our existing cash, cash equivalents, and marketable securities will not be sufficient to fund our operations beyond the next twelve months from the date of this Annual Report. We anticipate that we will continue to seek substantial additional funding, though the precise timing and nature of such additional funding may prove uncertain or unavailable to us. Our forecast of the period of time through which our financial resources will be adequate to support our operations is a forward-looking statement that involves risks and uncertainties, and actual results could vary materially.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above. We have based this estimate on assumptions that may prove to be wrong, and we could deplete our current capital resources sooner than we expect. Additionally, the process of conducting nonclinical studies and testing product candidates in clinical trials is costly, and the timing of progress and expenses in these studies and trials is uncertain.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58"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costs, timing and results of, the recently completed randomized portion of PALISADE-4, our ongoing and planned nonclinical studies and clinical trials of product candidates or clinical trials of other potential product candidates we may choose to pursue in the future, including based on feedback received from regulatory authorities;</w:t>
      </w:r>
    </w:p>
    <w:p>
      <w:pPr>
        <w:spacing w:after="0" w:line="16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current or future product candidates, including commercial scale manufacturing if any product candidate is approved;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current or future product candidates;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21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14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current or future product candidate is approved, and should we decide to commercialize them on our own;</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payers and adequate market share and revenue for any approved products;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 and</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issues with any of the above, including that the risk of each may be exacerbated any future pandemics or epidemic diseases, potential geopolitical instability and war, inflation or rising interest rates.</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likely will,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potentially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our corporate office and laboratory space in South San Francisco, California. As of March 31, 2026, total undiscounted future aggregate operating lease commitments were $1.0 million, with approximately $0.8 million due during the year ending March 31, 2027, and the remaining due in periods ending March 31, 2028. These obligations are further described in Note 5 to our audited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certain vendors for the provision of goods and services, which includes third-party contract manufacturing services with CDMOs, development services with CROs, and research and development services from other industry consultants. These arrangements are generally cancelable by either party with notice, and we are not committed to any material non-cancelable purchase obligations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(GAAP). The preparation of these consolidated financial statements requires us to make estimates and judgments that affect the reported amounts of assets, liabilities, revenue and expenses and the disclosure of contingent assets and liabilities in our consolidated financial statements. We base our estimates on historical experience, known trends and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included elsewhere in this Annual Report, we believe the following accounting estimates to be most critical to the preparation of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Prepaids, and Accruals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external and internal costs associated with our research and development activities, including our discovery and research efforts and the manufacturing, nonclinical and clinical development of our neuroscience product candidates. Research and development costs are expensed in the period incurred.</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entered into various research and development contracts with CROs, CDMOs, clinical sites and other vendors and consultants.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We record accruals for estimated costs incurred for ongoing research and development activities. When evaluating the adequacy of the accrued liabilities, we analyze progress of the services, including the phase or completion of events, invoices received and contracted costs. We hold discussions with applicable personnel and outside service providers regarding the status and progress of our manufacturing, nonclinical studies, clinical trials, and other contracted services. Significant judgments and estimates may be made in assessing the phase or completion of events to determine the expense and the resulting prepaid or accrued balances at the end of any reporting period. Our R&amp;D accruals are most sensitive to assumptions about CRO progress on clinical trials, where invoices may lag actual services performed by several months. If our estimates of vendor progress differ from actual progress, our research and development expense and accrued liabilities could be materially different from the amounts reported. Non-refundable advance payments for goods and services, including fees for process development, are deferred and recognized as expense in the period that the related goods are consumed, or services are performed.</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incurred in obtaining product or technology licenses are charged immediately to research and development expense if, at acquisition, the product or technology licensed has not achieved regulatory approval or reached technical feasibility and has no alternative future uses.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condition and results of operations is disclosed in Note 2 to our audited Consolidated Financial Statements appearing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disclosures in this section are not required because we qualify as a "smaller reporting company," as such term is defined in Rule 12b-2 under the Exchange Act.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Borders>
              <w:bottom w:val="single" w:sz="8" w:color="CCEEFF"/>
            </w:tcBorders>
          </w:tcPr>
          <w:p>
            <w:pPr>
              <w:spacing w:after="0"/>
              <w:rPr>
                <w:sz w:val="21"/>
                <w:szCs w:val="21"/>
                <w:color w:val="auto"/>
              </w:rPr>
            </w:pPr>
          </w:p>
        </w:tc>
        <w:tc>
          <w:tcPr>
            <w:tcW w:w="49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6120" w:type="dxa"/>
            <w:vAlign w:val="bottom"/>
            <w:gridSpan w:val="2"/>
            <w:shd w:val="clear" w:color="auto" w:fill="CCEEFF"/>
          </w:tcPr>
          <w:p>
            <w:pPr>
              <w:jc w:val="center"/>
              <w:ind w:left="4890"/>
              <w:spacing w:after="0"/>
              <w:rPr>
                <w:sz w:val="20"/>
                <w:szCs w:val="20"/>
                <w:color w:val="auto"/>
              </w:rPr>
            </w:pPr>
            <w:r>
              <w:rPr>
                <w:rFonts w:ascii="Times New Roman" w:cs="Times New Roman" w:eastAsia="Times New Roman" w:hAnsi="Times New Roman"/>
                <w:sz w:val="18"/>
                <w:szCs w:val="18"/>
                <w:color w:val="auto"/>
                <w:w w:val="99"/>
              </w:rPr>
              <w:t>94</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120" w:type="dxa"/>
            <w:vAlign w:val="bottom"/>
            <w:gridSpan w:val="2"/>
          </w:tcPr>
          <w:p>
            <w:pPr>
              <w:jc w:val="center"/>
              <w:ind w:left="4890"/>
              <w:spacing w:after="0"/>
              <w:rPr>
                <w:sz w:val="20"/>
                <w:szCs w:val="20"/>
                <w:color w:val="auto"/>
              </w:rPr>
            </w:pPr>
            <w:r>
              <w:rPr>
                <w:rFonts w:ascii="Times New Roman" w:cs="Times New Roman" w:eastAsia="Times New Roman" w:hAnsi="Times New Roman"/>
                <w:sz w:val="18"/>
                <w:szCs w:val="18"/>
                <w:color w:val="auto"/>
                <w:w w:val="99"/>
              </w:rPr>
              <w:t>95</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tc>
        <w:tc>
          <w:tcPr>
            <w:tcW w:w="6120" w:type="dxa"/>
            <w:vAlign w:val="bottom"/>
            <w:gridSpan w:val="2"/>
            <w:shd w:val="clear" w:color="auto" w:fill="CCEEFF"/>
          </w:tcPr>
          <w:p>
            <w:pPr>
              <w:jc w:val="center"/>
              <w:ind w:left="4890"/>
              <w:spacing w:after="0"/>
              <w:rPr>
                <w:sz w:val="20"/>
                <w:szCs w:val="20"/>
                <w:color w:val="auto"/>
              </w:rPr>
            </w:pPr>
            <w:r>
              <w:rPr>
                <w:rFonts w:ascii="Times New Roman" w:cs="Times New Roman" w:eastAsia="Times New Roman" w:hAnsi="Times New Roman"/>
                <w:sz w:val="18"/>
                <w:szCs w:val="18"/>
                <w:color w:val="auto"/>
                <w:w w:val="99"/>
              </w:rPr>
              <w:t>96</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120" w:type="dxa"/>
            <w:vAlign w:val="bottom"/>
            <w:gridSpan w:val="2"/>
          </w:tcPr>
          <w:p>
            <w:pPr>
              <w:jc w:val="center"/>
              <w:ind w:left="4890"/>
              <w:spacing w:after="0"/>
              <w:rPr>
                <w:sz w:val="20"/>
                <w:szCs w:val="20"/>
                <w:color w:val="auto"/>
              </w:rPr>
            </w:pPr>
            <w:r>
              <w:rPr>
                <w:rFonts w:ascii="Times New Roman" w:cs="Times New Roman" w:eastAsia="Times New Roman" w:hAnsi="Times New Roman"/>
                <w:sz w:val="18"/>
                <w:szCs w:val="18"/>
                <w:color w:val="auto"/>
                <w:w w:val="99"/>
              </w:rPr>
              <w:t>97</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120" w:type="dxa"/>
            <w:vAlign w:val="bottom"/>
            <w:gridSpan w:val="2"/>
            <w:shd w:val="clear" w:color="auto" w:fill="CCEEFF"/>
          </w:tcPr>
          <w:p>
            <w:pPr>
              <w:jc w:val="center"/>
              <w:ind w:left="4890"/>
              <w:spacing w:after="0"/>
              <w:rPr>
                <w:sz w:val="20"/>
                <w:szCs w:val="20"/>
                <w:color w:val="auto"/>
              </w:rPr>
            </w:pPr>
            <w:r>
              <w:rPr>
                <w:rFonts w:ascii="Times New Roman" w:cs="Times New Roman" w:eastAsia="Times New Roman" w:hAnsi="Times New Roman"/>
                <w:sz w:val="18"/>
                <w:szCs w:val="18"/>
                <w:color w:val="auto"/>
                <w:w w:val="99"/>
              </w:rPr>
              <w:t>98</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120" w:type="dxa"/>
            <w:vAlign w:val="bottom"/>
            <w:gridSpan w:val="2"/>
          </w:tcPr>
          <w:p>
            <w:pPr>
              <w:jc w:val="center"/>
              <w:ind w:left="4890"/>
              <w:spacing w:after="0"/>
              <w:rPr>
                <w:sz w:val="20"/>
                <w:szCs w:val="20"/>
                <w:color w:val="auto"/>
              </w:rPr>
            </w:pPr>
            <w:r>
              <w:rPr>
                <w:rFonts w:ascii="Times New Roman" w:cs="Times New Roman" w:eastAsia="Times New Roman" w:hAnsi="Times New Roman"/>
                <w:sz w:val="18"/>
                <w:szCs w:val="18"/>
                <w:color w:val="auto"/>
                <w:w w:val="99"/>
              </w:rPr>
              <w:t>99</w:t>
            </w:r>
          </w:p>
        </w:tc>
      </w:tr>
      <w:tr>
        <w:trPr>
          <w:trHeight w:val="918"/>
        </w:trPr>
        <w:tc>
          <w:tcPr>
            <w:tcW w:w="5120" w:type="dxa"/>
            <w:vAlign w:val="bottom"/>
          </w:tcPr>
          <w:p>
            <w:pPr>
              <w:spacing w:after="0"/>
              <w:rPr>
                <w:sz w:val="24"/>
                <w:szCs w:val="24"/>
                <w:color w:val="auto"/>
              </w:rPr>
            </w:pPr>
          </w:p>
        </w:tc>
        <w:tc>
          <w:tcPr>
            <w:tcW w:w="4980" w:type="dxa"/>
            <w:vAlign w:val="bottom"/>
          </w:tcPr>
          <w:p>
            <w:pPr>
              <w:jc w:val="right"/>
              <w:ind w:right="4290"/>
              <w:spacing w:after="0"/>
              <w:rPr>
                <w:sz w:val="20"/>
                <w:szCs w:val="20"/>
                <w:color w:val="auto"/>
              </w:rPr>
            </w:pPr>
            <w:r>
              <w:rPr>
                <w:rFonts w:ascii="Times New Roman" w:cs="Times New Roman" w:eastAsia="Times New Roman" w:hAnsi="Times New Roman"/>
                <w:sz w:val="18"/>
                <w:szCs w:val="18"/>
                <w:color w:val="auto"/>
              </w:rPr>
              <w:t>93</w:t>
            </w:r>
          </w:p>
        </w:tc>
        <w:tc>
          <w:tcPr>
            <w:tcW w:w="114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Vistagen Therapeutics, Inc. and subsidiaries (the Company) as of March 31, 2026 and 2025, the related consolidated statement of operations and comprehensive loss, stockholders’ equity, and cash flows for each of the years in the two-year period ended March 31, 2026, and the related notes (collectively, the consolidated financial statements). In our opinion, the consolidated financial statements present fairly, in all material respects, the financial position of the Company as of March 31, 2026 and 2025, and the results of its operations and its cash flows for each of the years in the two-year period ended March 31, 2026, in conformity with U.S. generally accepted accounting principles.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incurred recurring losses, negative cash flows from operations, and has an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24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2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VISTAGEN THERAPEUTICS,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par value amounts)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3"/>
        </w:trPr>
        <w:tc>
          <w:tcPr>
            <w:tcW w:w="12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35"/>
        </w:trPr>
        <w:tc>
          <w:tcPr>
            <w:tcW w:w="128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7"/>
        </w:trPr>
        <w:tc>
          <w:tcPr>
            <w:tcW w:w="1280" w:type="dxa"/>
            <w:vAlign w:val="bottom"/>
            <w:shd w:val="clear" w:color="auto" w:fill="CCEEFF"/>
          </w:tcPr>
          <w:p>
            <w:pPr>
              <w:spacing w:after="0"/>
              <w:rPr>
                <w:sz w:val="22"/>
                <w:szCs w:val="22"/>
                <w:color w:val="auto"/>
              </w:rPr>
            </w:pPr>
          </w:p>
        </w:tc>
        <w:tc>
          <w:tcPr>
            <w:tcW w:w="678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w:t>
            </w:r>
          </w:p>
        </w:tc>
      </w:tr>
      <w:tr>
        <w:trPr>
          <w:trHeight w:val="250"/>
        </w:trPr>
        <w:tc>
          <w:tcPr>
            <w:tcW w:w="8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13,351</w:t>
            </w:r>
          </w:p>
        </w:tc>
      </w:tr>
      <w:tr>
        <w:trPr>
          <w:trHeight w:val="257"/>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82,076</w:t>
            </w:r>
          </w:p>
        </w:tc>
      </w:tr>
      <w:tr>
        <w:trPr>
          <w:trHeight w:val="26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57"/>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57"/>
        </w:trPr>
        <w:tc>
          <w:tcPr>
            <w:tcW w:w="8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48,564</w:t>
            </w:r>
          </w:p>
        </w:tc>
        <w:tc>
          <w:tcPr>
            <w:tcW w:w="2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84,341</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0"/>
        </w:trPr>
        <w:tc>
          <w:tcPr>
            <w:tcW w:w="1280" w:type="dxa"/>
            <w:vAlign w:val="bottom"/>
          </w:tcPr>
          <w:p>
            <w:pPr>
              <w:spacing w:after="0"/>
              <w:rPr>
                <w:sz w:val="21"/>
                <w:szCs w:val="21"/>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r>
      <w:tr>
        <w:trPr>
          <w:trHeight w:val="250"/>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50"/>
        </w:trPr>
        <w:tc>
          <w:tcPr>
            <w:tcW w:w="80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57"/>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34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57"/>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13,951</w:t>
            </w:r>
          </w:p>
        </w:tc>
      </w:tr>
      <w:tr>
        <w:trPr>
          <w:trHeight w:val="26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8"/>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March 31, 2026 and March 31, 2025; no</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outstanding at March 31, 2026 and March 31, 2025</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 $0.001 par value; 325,000,000 shares authorized at March 31, 2026 and March 31, 2025;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8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39,624,839 and 29,001,481 shares issued at March 31, 2026 and March 31, 2025, respectively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516,767</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481,956</w:t>
            </w:r>
          </w:p>
        </w:tc>
      </w:tr>
      <w:tr>
        <w:trPr>
          <w:trHeight w:val="250"/>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Treasury stock, at cost, 4,522 shares of common stock held at March 31, 2026 and March 31, 2025</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80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(477,317)</w:t>
            </w:r>
          </w:p>
        </w:tc>
        <w:tc>
          <w:tcPr>
            <w:tcW w:w="2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(407,632)</w:t>
            </w:r>
          </w:p>
        </w:tc>
      </w:tr>
      <w:tr>
        <w:trPr>
          <w:trHeight w:val="250"/>
        </w:trPr>
        <w:tc>
          <w:tcPr>
            <w:tcW w:w="8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35,520</w:t>
            </w:r>
          </w:p>
        </w:tc>
        <w:tc>
          <w:tcPr>
            <w:tcW w:w="2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70,390</w:t>
            </w:r>
          </w:p>
        </w:tc>
      </w:tr>
      <w:tr>
        <w:trPr>
          <w:trHeight w:val="257"/>
        </w:trPr>
        <w:tc>
          <w:tcPr>
            <w:tcW w:w="8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48,564</w:t>
            </w:r>
          </w:p>
        </w:tc>
        <w:tc>
          <w:tcPr>
            <w:tcW w:w="2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84,341</w:t>
            </w:r>
          </w:p>
        </w:tc>
      </w:tr>
      <w:tr>
        <w:trPr>
          <w:trHeight w:val="20"/>
        </w:trPr>
        <w:tc>
          <w:tcPr>
            <w:tcW w:w="1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73"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21590</wp:posOffset>
            </wp:positionV>
            <wp:extent cx="21170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56"/>
        </w:trPr>
        <w:tc>
          <w:tcPr>
            <w:tcW w:w="7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54,974</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39,375</w:t>
            </w:r>
          </w:p>
        </w:tc>
      </w:tr>
      <w:tr>
        <w:trPr>
          <w:trHeight w:val="25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17,084</w:t>
            </w:r>
          </w:p>
        </w:tc>
      </w:tr>
      <w:tr>
        <w:trPr>
          <w:trHeight w:val="250"/>
        </w:trPr>
        <w:tc>
          <w:tcPr>
            <w:tcW w:w="7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73,395</w:t>
            </w:r>
          </w:p>
        </w:tc>
        <w:tc>
          <w:tcPr>
            <w:tcW w:w="2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56,459</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(55,973)</w:t>
            </w:r>
          </w:p>
        </w:tc>
      </w:tr>
      <w:tr>
        <w:trPr>
          <w:trHeight w:val="26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(51,411)</w:t>
            </w:r>
          </w:p>
        </w:tc>
      </w:tr>
      <w:tr>
        <w:trPr>
          <w:trHeight w:val="25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(69,685)</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(51,418)</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(69,692)</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(51,413)</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5"/>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38,073,926</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30,877,029</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2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820" w:type="dxa"/>
            <w:vAlign w:val="bottom"/>
          </w:tcPr>
          <w:p>
            <w:pPr>
              <w:spacing w:after="0"/>
              <w:rPr>
                <w:sz w:val="9"/>
                <w:szCs w:val="9"/>
                <w:color w:val="auto"/>
              </w:rPr>
            </w:pPr>
          </w:p>
        </w:tc>
        <w:tc>
          <w:tcPr>
            <w:tcW w:w="22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60" w:type="dxa"/>
            <w:vAlign w:val="bottom"/>
            <w:gridSpan w:val="2"/>
            <w:vMerge w:val="restart"/>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04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82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27,029,731</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474,441</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(3,968)</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(356,214)</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114,286</w:t>
            </w:r>
          </w:p>
        </w:tc>
        <w:tc>
          <w:tcPr>
            <w:tcW w:w="0" w:type="dxa"/>
            <w:vAlign w:val="bottom"/>
          </w:tcPr>
          <w:p>
            <w:pPr>
              <w:spacing w:after="0"/>
              <w:rPr>
                <w:sz w:val="1"/>
                <w:szCs w:val="1"/>
                <w:color w:val="auto"/>
              </w:rPr>
            </w:pPr>
          </w:p>
        </w:tc>
      </w:tr>
      <w:tr>
        <w:trPr>
          <w:trHeight w:val="193"/>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common stock pursuant to 2019</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74,804</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Open Market</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 Agreement, net of issuance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1,108,587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Pre-Funded Warrants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788,359</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(51,418)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(51,418)</w:t>
            </w:r>
          </w:p>
        </w:tc>
        <w:tc>
          <w:tcPr>
            <w:tcW w:w="0" w:type="dxa"/>
            <w:vAlign w:val="bottom"/>
          </w:tcPr>
          <w:p>
            <w:pPr>
              <w:spacing w:after="0"/>
              <w:rPr>
                <w:sz w:val="1"/>
                <w:szCs w:val="1"/>
                <w:color w:val="auto"/>
              </w:rPr>
            </w:pPr>
          </w:p>
        </w:tc>
      </w:tr>
      <w:tr>
        <w:trPr>
          <w:trHeight w:val="23"/>
        </w:trPr>
        <w:tc>
          <w:tcPr>
            <w:tcW w:w="2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29,001,481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29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481,956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b w:val="1"/>
                <w:bCs w:val="1"/>
                <w:color w:val="auto"/>
                <w:w w:val="85"/>
              </w:rPr>
              <w:t>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(407,632)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70,390</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common stock pursuant to 2019</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217,784</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available-for-sale, net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Open Market</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 Agreement, net of issuance costs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10,403,244</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30,575</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30,586</w:t>
            </w: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(69,685)</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39,624,839</w:t>
            </w:r>
          </w:p>
        </w:tc>
        <w:tc>
          <w:tcPr>
            <w:tcW w:w="14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516,767</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(3,968)</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(477,317)</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35,520</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March 31,</w:t>
            </w:r>
          </w:p>
        </w:tc>
      </w:tr>
      <w:tr>
        <w:trPr>
          <w:trHeight w:val="250"/>
        </w:trPr>
        <w:tc>
          <w:tcPr>
            <w:tcW w:w="80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(69,685)</w:t>
            </w:r>
          </w:p>
        </w:tc>
        <w:tc>
          <w:tcPr>
            <w:tcW w:w="2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(51,418)</w:t>
            </w:r>
          </w:p>
        </w:tc>
      </w:tr>
      <w:tr>
        <w:trPr>
          <w:trHeight w:val="26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63"/>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63"/>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5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Accretion of marketable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63"/>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6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5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6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sublicense revenue, net of deferred contract acquisition costs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50"/>
        </w:trPr>
        <w:tc>
          <w:tcPr>
            <w:tcW w:w="8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5,681</w:t>
            </w:r>
          </w:p>
        </w:tc>
      </w:tr>
      <w:tr>
        <w:trPr>
          <w:trHeight w:val="25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(66,436)</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257"/>
        </w:trPr>
        <w:tc>
          <w:tcPr>
            <w:tcW w:w="8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laboratory and other equipment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r>
      <w:tr>
        <w:trPr>
          <w:trHeight w:val="250"/>
        </w:trPr>
        <w:tc>
          <w:tcPr>
            <w:tcW w:w="8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(22,301)</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(24,984)</w:t>
            </w:r>
          </w:p>
        </w:tc>
      </w:tr>
      <w:tr>
        <w:trPr>
          <w:trHeight w:val="25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w:t>
            </w:r>
          </w:p>
        </w:tc>
      </w:tr>
      <w:tr>
        <w:trPr>
          <w:trHeight w:val="257"/>
        </w:trPr>
        <w:tc>
          <w:tcPr>
            <w:tcW w:w="8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issuance of common stock and warrants, net of issuance costs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proceeds from sale of common stock under Open Market Sale Agreement, net of deferred offering</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8"/>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30,637</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5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proceeds from sale of common stock under Employee Stock Purchase Plan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6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note payable for insurance policy</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30,971</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(52,035)</w:t>
            </w:r>
          </w:p>
        </w:tc>
      </w:tr>
      <w:tr>
        <w:trPr>
          <w:trHeight w:val="25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w:t>
            </w:r>
          </w:p>
        </w:tc>
        <w:tc>
          <w:tcPr>
            <w:tcW w:w="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5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67,131</w:t>
            </w: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9260" w:firstLine="8"/>
        <w:spacing w:after="0" w:line="464" w:lineRule="auto"/>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Overview</w:t>
      </w:r>
    </w:p>
    <w:p>
      <w:pPr>
        <w:jc w:val="both"/>
        <w:spacing w:after="0" w:line="256" w:lineRule="auto"/>
        <w:rPr>
          <w:sz w:val="20"/>
          <w:szCs w:val="20"/>
          <w:color w:val="auto"/>
        </w:rPr>
      </w:pPr>
      <w:r>
        <w:rPr>
          <w:rFonts w:ascii="Times New Roman" w:cs="Times New Roman" w:eastAsia="Times New Roman" w:hAnsi="Times New Roman"/>
          <w:sz w:val="18"/>
          <w:szCs w:val="18"/>
          <w:color w:val="auto"/>
        </w:rPr>
        <w:t>Vistagen Therapeutics, Inc., a Nevada corporation (Vistagen, the Company, we, our, or us), is a late clinical-stage biopharmaceutical company leveraging a deep understanding of nose-to-brain neurocircuitry to develop and potentially commercialize a new class of non-systemic intranasal product candidates called pherines. Our clinical-stage neuroscience pipeline currently includes five clinical-stage intranasal pherine product candidates, each with a novel proposed mechanism of action (MOA) and at least one positive clinical study involving our targeted patient population. Pherines rapidly,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Basis of Presentation, Principles of Consolidation and Summary of Significant Accounting Policies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(GAAP), and reflect the operations of Vistagen and our wholly owned subsidiaries. Any reference in these notes to applicable guidance is meant to refer to GAAP as found in the Accounting Standards Codification (ASC) and Accounting Standards Updates (ASU) promulgated by the Financial Accounting Standards Board (FASB). All material intercompany accounts and transactions have been eliminated in consolidation.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complete the development of our neuroscience product candidates and to build the sales, marketing and distribution infrastructure that we believe will be necessary to commercialize our product candidates, if approved, we will require substantial additional capital. Until we can generate a sufficient amount of revenue from the commercialization of our product candidates, we may seek to raise any necessary additional capital through equity and/or debt financings, loans or other capital sources, which could include income from collaborations, partnerships or other marketing, distribution, licensing or other strategic arrangements with third parties. Because of the numerous risks and uncertainties associated with research, development and commercialization of our product candidates, we are unable to estimate the exact amount and timing of our capital requirements. We do not expect to generate any meaningful revenue unless and until we obtain regulatory approval of and commercialize any of our product candidates, and we do not know when, or if, that will occur.</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inception. As of March 31, 2026, we had an accumulated deficit of $477.3 million and cash used in operations for the year ended March 31, 2026 was $66.4 million. We expect that our operating losses and negative cash flows will continue for the foreseeable future as we continue to develop our product candidates.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Accounting Standards Codification (ASC) 205-40, Going Concern, we evaluated whether there are conditions and events, considered in the aggregate, that raise substantial doubt about our ability to continue as a going concern within one year from the date that these consolidated financial statements are issued. This evaluation initially does not take into consideration the potential mitigating effect of management’s plans that have not been fully implemented as of the date the consolidated financial statements are issued. When substantial doubt exists under this methodology, management evaluates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 In performing its analysis, management excluded certain elements of its operating plan that cannot be considered probable. Under ASC 205-40, the future receipt of potential funding from future equity and/or debt issuances and other potential sources such as partnerships cannot be considered probable at this time because these plans are not entirely within our control nor have these plans been approved by the Board as of the date of these consolidated financial statements.</w:t>
      </w:r>
    </w:p>
    <w:p>
      <w:pPr>
        <w:spacing w:after="0" w:line="1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2025, we had cash, cash equivalents, and marketable securities of $45.4 million and $80.5 million, respectively. As of June 15, 2026, the issuance date of the consolidated financial statements as of and for the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ended March 31, 2026, there is uncertainty about whether our combined cash, cash equivalents, and marketable securities will be sufficient to fund operations beyond twelve months from the issuance date of these consolidated financial statements and therefore we concluded that substantial doubt exists about our ability to continue as a going concern.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reflected in the accompanying consolidated financial statements include, but are not limited to, those relating to stock-based compensation, revenue recognition, research and development expenses, determination of right-of-use assets under lease transactions and related lease obligations, useful lives of property and equipment, deferred tax assets and liabilities and the related valuation allowance, and the assumptions used to value warrants. We base our estimates on historical experience, known trends and other market-specific or other relevant factors that we believe to be reasonable under the circumstances. Actual results could differ from those estimates.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us to significant concentration of credit risk consist of cash and cash equivalents. We maintain deposits in federally insured financial institutions in excess of federally insured limits. We have not experienced any losses in such accounts, and management believes that we are not exposed to significant credit risk due to the nature of the instruments held in the depository institutions.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are considered to be highly liquid investments with maturities of three months or less at the date of purchase. Cash equivalents primarily represent funds invested in readily available money market accounts and short-term treasury notes. As of March 31, 2026, we had cash and cash equivalents balances deposited at multiple major financial institutions.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and depreciated using the straight-line method over the estimated useful lives of the assets (generally three to ten years, or the remaining term of the lease). Repairs and maintenance costs are expensed as incurred, while expenditures that extend the useful life of an asset or add new functionality are capitalized and depreciated over the remaining useful life of the related asset.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our long-lived assets, which consist of property and equipment and right-of-use assets,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we have not recorded any impairment losses on long-lived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Deferred offering costs include registration expenses related to our current registration statement on SEC Form S-3, which became effective on February 29, 2024, and expenses related to the Sales Agreement (as described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These expenses consist primarily of legal, accounting, SEC filing fees, and, as appropriate, Nasdaq filing fees.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completion or partial completion of an applicable equity offering, the deferred expenses are charged to additional paid-in capital. If there are any deferred offering costs remaining at the expiration of our current registration statement on SEC Form S-3 or the equity financing agreement, or if the financing is abandoned, terminated or significantly delayed, such costs are charged to expense.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ASC Topic 606, we recognize revenue when our customer obtains control of promised goods or services, in an amount that reflects the consideration that we expect to be entitled to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combined performance obligation is identified. We then allocate the transaction price (that is,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 subject to the constraint on variable consideration. Variable consideration is not constrained if the potential reversal of cumulative revenue recognized at the contract level is not significant.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License Rights </w:t>
      </w:r>
      <w:r>
        <w:rPr>
          <w:rFonts w:ascii="Times New Roman" w:cs="Times New Roman" w:eastAsia="Times New Roman" w:hAnsi="Times New Roman"/>
          <w:sz w:val="18"/>
          <w:szCs w:val="18"/>
          <w:color w:val="auto"/>
        </w:rPr>
        <w:t>— If the license to our intellectual property (IP) is determined to be distinct from the other promises or performance obligations identified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arrangement, which generally include research and development services, we recognize revenue from non-refundable, upfront fees allocated to the license when the license is transferred to the customer and the customer is able to use and benefit from the license. In assessing whether a license is distinct from the other promises, we consider relevant facts and circumstances of each arrangement, including the research and development capabilities of the collaboration partner and the availability of the associated expertise in the general marketplace. In addition, we consider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we utilize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 Our arrangements may provide a collaborator with the right to acquire additional goods or services in the future. If an arrangement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Any such adjustments to the transaction price are recorded on a cumulative catch-up basis, which would affect revenues and earnings in the period of adjustment. If the additional services are distinct, we evaluate the customer options for material rights, or options to acquire additional goods or services for free or at a discount. Material rights are recognized as a separate performance obligation at the inception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an arrangement that includes development milestone payments, we evaluate whether the milestones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likely to be achieved and estimate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our control, such as regulatory approvals, are not considered probable to be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6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For arrangements that include sales-based royalties, including milestone payments based on a level of sales, where the license is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licensing agreements.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due to us for satisfying the revenue recognition criteria or that are contractually due based upon the terms of the collaboration agreements are recorded as accounts receivable on the consolidated balance sheets. Amounts received prior to satisfying the revenue recognition criteria are recorded as deferred revenue.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Accruals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programs and are charged to expense as incurred.</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various research and development contracts with clinical research organizations, clinical development and manufacturing organizations, clinical sites and other vendors and consultants. Payments for these activities are based on the terms of the individual agreements, which may differ from the pattern of costs incurred, and payments made in advance of or after the performance are reflected in the accompanying balance sheets as prepaid expenses or accrued liabilities, respectively. When evaluating the adequacy of the accrued liabilities, we analyze progress of the services, including the phase or completion of events, invoices received and contracted costs. We hold discussions with relevant employees and outside service providers as to assess the progress of clinical trials and services performed. Significant judgments and estimates may be made in determining the prepaid or accrued balances at the end of any reporting period. Actual results could differ from our estimates. Nonrefundable advance payments for goods and services, including fees for process development, are deferred and recognized as expenses in the period that the related goods are consumed or services are performed.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promulgated by ASC 740</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Uncertain tax positions, for which our assessment is that there is a more than 50% probability of sustaining the position upon challenge by a taxing authority based on its technical merits, are subject to certain recognition and measurement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criteria. The nature of the uncertain tax positions is often very complex and subject to change, and the amounts at issue can be substantial. We develop our cumulative probability assessment of the measurement of uncertain tax positions using internal experience, judgment and assistance from our professional advisors. We re-evaluate these uncertain tax positions on a quarterly basis based on a number of factors including, but not limited to, changes in facts or circumstances, changes in tax law, and effectively settled issues under audit and new audit activity. Any change in these factors could result in the recognition of a tax benefit or an additional charge to the tax provision.</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Effective April 1, 2025, we adopted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on a prospective basis. ASU 2023-09 requires enhanced disclosures related to the effective tax rate reconciliation and income taxes paid. The adoption resulted in expanded disclosures in Note 10, Income Taxes, and did not affect our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inception of a contractual agreement, we determine whether the contract is or contains a lease, by assessing whether there is an identified asset and whether the contract conveys the right to control the use of the identified asset in exchange for consideration over a period of time. If both criteria are met, we record the associated lease liability and corresponding right-of-use asset upon commencement of the lease using the implicit rate or a discount rate based on a credit-adjusted secured borrowing rate commensurate with the term of the lease. When determining the lease term, we include options to extend or terminate the lease when it is reasonably certain, at inception, that we will exercise that option. Additionally, we evaluate leases at their inception to determine if they are to be accounted for as an operating lease or a finance lease.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assets represent our right to use an underlying asset for the lease term (Right-of-use assets) and operating lease liabilities represent our obligation to make lease payments arising from the lease. The lease payments used to determine our operating lease assets may include lease incentives, stated rent increases and escalation clauses linked to rates of inflation, when determinable, and are recognized in determining our Right-of-use assets.</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Operating lease liabilities with a term greater than one year and their corresponding right-of-use assets are recognized on the balance sheets at the commencement date of the lease based on the present value of lease payments over the expected lease term. We exclude short-term leases, if any, having initial terms of 12 months or less at lease commencement as an accounting policy election. Variable lease payments are amounts owed by us to a lessor that are not fixed, such as reimbursement for common area maintenance costs for our facility lease; and are expensed when incurred. Operating right-of-use assets are reflected in right-of-use assets in the accompanying balance sheets. Operating lease liabilities are reflected in operating lease obligations, current and non-current in the accompanying balance sheets.</w:t>
      </w:r>
    </w:p>
    <w:p>
      <w:pPr>
        <w:spacing w:after="0" w:line="1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Financing leases, formerly referred to as capitalized leases, are treated similarly to operating leases except that the asset subject to the lease is included in the appropriate fixed asset category, rather than recorded as a Right-of-use asset, and depreciated over its estimated useful life, or lease term, if shorter. We have not entered into any financing leases as of the balance sheet dates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qualifying costs incurred during the application development stage related to software developed for internal-use and amortize them over the estimated useful life of three years. Amortization of such costs begins when the project is substantially complete and ready for its intended use. Capitalized software development costs are classified as property and equipment, net on the consolidated balance sheet. We expense costs incurred related to the planning and post-implementation phases of development as incurred.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Stock-based compensation is accounted for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and is measured at the grant date fair value for employee, officer, director and non-employee equity awards and is recognized over the requisite service period, which is generally the vesting period. We recognize forfeitures as they occur. Stock-based compensation is classified in the Consolidated Statements of Operations and Comprehensive Loss in the same manner in which the recipient's payroll or fees are classified.</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stock options is estimated using a Black-Scholes valuation model on the date of grant. This method requires that certain assumptions be used as inputs, such as the fair value of the underlying common stock, expected term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of the option before exercise, expected volatility of our common stock, risk-free interest rate and expected dividend. Options granted have a maximum contractual term of ten years. We have limited historical stock option activity and therefore estimate the expected term of stock options granted using the simplified method, which represents the arithmetic average of the original contractual term of the stock option and its weighted-average vesting term. The expected volatility of stock options is estimated based on the average historical volatility of our own common stock. The risk-free interest rates used are based on the U.S. Treasury yield in effect at the time of grant for zero-coupon U.S. treasury notes with maturities approximately equal to the expected term of the stock options. We have historically not declared or paid any dividends and we do not currently expect to do so in the foreseeable future, and therefore have estimated the dividend yield to be zero.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certain assets and liabilities at fair value on a recurring basis. Fair value is defined as the exchange price that would be received for an asset or paid to transfer a liability (an exit price) in the principal or most advantageous market for the asset or liability in an orderly transaction between market participants at the measurement date. We use a three-tier fair value hierarchy to prioritize the inputs used in measuring fair value, which are as follows:</w:t>
      </w:r>
    </w:p>
    <w:p>
      <w:pPr>
        <w:spacing w:after="0" w:line="174"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that are accessible at the measurement date for identical assets or liabilities.</w:t>
      </w:r>
    </w:p>
    <w:p>
      <w:pPr>
        <w:spacing w:after="0" w:line="225" w:lineRule="exact"/>
        <w:rPr>
          <w:rFonts w:ascii="Times New Roman" w:cs="Times New Roman" w:eastAsia="Times New Roman" w:hAnsi="Times New Roman"/>
          <w:sz w:val="18"/>
          <w:szCs w:val="18"/>
          <w:color w:val="auto"/>
        </w:rPr>
      </w:pPr>
    </w:p>
    <w:p>
      <w:pPr>
        <w:ind w:left="660" w:right="580" w:hanging="328"/>
        <w:spacing w:after="0" w:line="284"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quoted prices in markets that are not active, or inputs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either directly or indirectly, for substantially the full term of the asset or liability.</w:t>
      </w:r>
    </w:p>
    <w:p>
      <w:pPr>
        <w:spacing w:after="0" w:line="158" w:lineRule="exact"/>
        <w:rPr>
          <w:rFonts w:ascii="Times New Roman" w:cs="Times New Roman" w:eastAsia="Times New Roman" w:hAnsi="Times New Roman"/>
          <w:sz w:val="18"/>
          <w:szCs w:val="18"/>
          <w:color w:val="auto"/>
        </w:rPr>
      </w:pPr>
    </w:p>
    <w:p>
      <w:pPr>
        <w:ind w:left="660" w:right="720" w:hanging="328"/>
        <w:spacing w:after="0" w:line="284"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Money market funds are highly liquid investments and are classified as Level 1. The pricing information for these assets is readily available and can be independently validated as of the measurement date. Available-for sale debt securities are valued using observable inputs from similar assets, or from observable data in markets that are not active. These assets are classified as Level 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in Connection with Equity Financing</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evaluate the appropriate balance sheet classification of warrants we issue as either equity or as a derivative liability. In accordance with ASC 815-40, </w:t>
      </w:r>
      <w:r>
        <w:rPr>
          <w:rFonts w:ascii="Times New Roman" w:cs="Times New Roman" w:eastAsia="Times New Roman" w:hAnsi="Times New Roman"/>
          <w:sz w:val="18"/>
          <w:szCs w:val="18"/>
          <w:i w:val="1"/>
          <w:iCs w:val="1"/>
          <w:color w:val="auto"/>
        </w:rPr>
        <w:t>Derivatives and Hedging-Contracts in the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(ASC 815-40), we classify a warrant as equity if it is “indexed to the Company’s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meets several specific conditions for equity classification. A warrant is not considered “indexed to the Company’s equity,” in general, when it contains certain types of exercise contingencies or potential adjustments to its exercise price. If a warrant is not indexed to the Company’s equity or it has net cash settlement provisions that result in the warrants being accounted for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or ASC 815-40, it is classified as a derivative liability which is carried on the consolidated balance sheets at fair value with any changes in its fair value recognized immediately in the Statements of Operations and Comprehensive Loss. At March 31, 2026 and 2025 all of our outstanding warrants were classified as equity.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shareholders’ equity that result from transactions and economic events other than those with shareholders. For the year ended March 31, 2026, these changes related to unrealized gains and losses on our available-for-sale short-term investments. There were no reclassifications out of comprehensive loss for the years ended March 31, 2026 and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basic and diluted net loss per share attributable to common stockholders in conformity with the two-class method required for participating securities. Certain warrants participate in distributions of the Company. The Pre-Funded Warrants associated with the October 2023 Public Offering (see Note 8 below) are considered outstanding shares in the basic earnings per share calculation given their nominal exercise price. The net loss attributable to common stockholders is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allocated to the warrant holders as the holders of warrants do not have a contractual obligation to share in losses. 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Our potentially dilutive securities, including outstanding warrants to purchase common stock and outstanding stock options under our equity incentive plan, have been excluded from the computation of diluted net loss per share as their inclusion would be anti-dilutive. For all periods presented, there is no difference in the number of shares used to calculate basic and diluted shares outstanding due to our net loss position.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potentially dilutive securities that have been excluded from the calculation of diluted net loss per share because their inclusion in the calculation would be anti-dilutive: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right="200"/>
        <w:spacing w:after="0" w:line="258" w:lineRule="auto"/>
        <w:rPr>
          <w:sz w:val="20"/>
          <w:szCs w:val="20"/>
          <w:color w:val="auto"/>
        </w:rPr>
      </w:pPr>
      <w:r>
        <w:rPr>
          <w:rFonts w:ascii="Times New Roman" w:cs="Times New Roman" w:eastAsia="Times New Roman" w:hAnsi="Times New Roman"/>
          <w:sz w:val="18"/>
          <w:szCs w:val="18"/>
          <w:color w:val="auto"/>
        </w:rPr>
        <w:t>Outstanding options under the Company's Amended and Restated 2016 (formerly 2008) Stock Incentive Plan and 2019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Outstanding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19685</wp:posOffset>
            </wp:positionV>
            <wp:extent cx="27432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43" w:lineRule="exact"/>
        <w:rPr>
          <w:sz w:val="20"/>
          <w:szCs w:val="20"/>
          <w:color w:val="auto"/>
        </w:rPr>
      </w:pPr>
    </w:p>
    <w:p>
      <w:pPr>
        <w:ind w:left="420"/>
        <w:spacing w:after="0"/>
        <w:tabs>
          <w:tab w:leader="none" w:pos="2740" w:val="left"/>
        </w:tabs>
        <w:rPr>
          <w:sz w:val="20"/>
          <w:szCs w:val="20"/>
          <w:color w:val="auto"/>
        </w:rPr>
      </w:pPr>
      <w:r>
        <w:rPr>
          <w:rFonts w:ascii="Times New Roman" w:cs="Times New Roman" w:eastAsia="Times New Roman" w:hAnsi="Times New Roman"/>
          <w:sz w:val="18"/>
          <w:szCs w:val="18"/>
          <w:color w:val="auto"/>
        </w:rPr>
        <w:t>4,457,368</w:t>
      </w:r>
      <w:r>
        <w:rPr>
          <w:sz w:val="20"/>
          <w:szCs w:val="20"/>
          <w:color w:val="auto"/>
        </w:rPr>
        <w:tab/>
      </w:r>
      <w:r>
        <w:rPr>
          <w:rFonts w:ascii="Times New Roman" w:cs="Times New Roman" w:eastAsia="Times New Roman" w:hAnsi="Times New Roman"/>
          <w:sz w:val="18"/>
          <w:szCs w:val="18"/>
          <w:color w:val="auto"/>
        </w:rPr>
        <w:t>3,239,642</w:t>
      </w:r>
    </w:p>
    <w:p>
      <w:pPr>
        <w:spacing w:after="0" w:line="36" w:lineRule="exact"/>
        <w:rPr>
          <w:sz w:val="20"/>
          <w:szCs w:val="20"/>
          <w:color w:val="auto"/>
        </w:rPr>
      </w:pPr>
    </w:p>
    <w:p>
      <w:pPr>
        <w:ind w:left="280"/>
        <w:spacing w:after="0"/>
        <w:tabs>
          <w:tab w:leader="none" w:pos="2600" w:val="left"/>
        </w:tabs>
        <w:rPr>
          <w:sz w:val="20"/>
          <w:szCs w:val="20"/>
          <w:color w:val="auto"/>
        </w:rPr>
      </w:pPr>
      <w:r>
        <w:rPr>
          <w:rFonts w:ascii="Times New Roman" w:cs="Times New Roman" w:eastAsia="Times New Roman" w:hAnsi="Times New Roman"/>
          <w:sz w:val="18"/>
          <w:szCs w:val="18"/>
          <w:color w:val="auto"/>
        </w:rPr>
        <w:t>20,559,108</w:t>
      </w:r>
      <w:r>
        <w:rPr>
          <w:sz w:val="20"/>
          <w:szCs w:val="20"/>
          <w:color w:val="auto"/>
        </w:rPr>
        <w:tab/>
      </w:r>
      <w:r>
        <w:rPr>
          <w:rFonts w:ascii="Times New Roman" w:cs="Times New Roman" w:eastAsia="Times New Roman" w:hAnsi="Times New Roman"/>
          <w:sz w:val="18"/>
          <w:szCs w:val="18"/>
          <w:color w:val="auto"/>
        </w:rPr>
        <w:t>20,571,460</w:t>
      </w:r>
    </w:p>
    <w:p>
      <w:pPr>
        <w:spacing w:after="0" w:line="50" w:lineRule="exact"/>
        <w:rPr>
          <w:sz w:val="20"/>
          <w:szCs w:val="20"/>
          <w:color w:val="auto"/>
        </w:rPr>
      </w:pPr>
    </w:p>
    <w:p>
      <w:pPr>
        <w:ind w:left="340"/>
        <w:spacing w:after="0"/>
        <w:tabs>
          <w:tab w:leader="none" w:pos="2660" w:val="left"/>
        </w:tabs>
        <w:rPr>
          <w:sz w:val="20"/>
          <w:szCs w:val="20"/>
          <w:color w:val="auto"/>
        </w:rPr>
      </w:pPr>
      <w:r>
        <w:rPr>
          <w:rFonts w:ascii="Times New Roman" w:cs="Times New Roman" w:eastAsia="Times New Roman" w:hAnsi="Times New Roman"/>
          <w:sz w:val="17"/>
          <w:szCs w:val="17"/>
          <w:color w:val="auto"/>
        </w:rPr>
        <w:t>25,016,476</w:t>
      </w:r>
      <w:r>
        <w:rPr>
          <w:sz w:val="20"/>
          <w:szCs w:val="20"/>
          <w:color w:val="auto"/>
        </w:rPr>
        <w:tab/>
      </w:r>
      <w:r>
        <w:rPr>
          <w:rFonts w:ascii="Times New Roman" w:cs="Times New Roman" w:eastAsia="Times New Roman" w:hAnsi="Times New Roman"/>
          <w:sz w:val="17"/>
          <w:szCs w:val="17"/>
          <w:color w:val="auto"/>
        </w:rPr>
        <w:t>23,811,102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59055</wp:posOffset>
            </wp:positionV>
            <wp:extent cx="27432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666" w:lineRule="exact"/>
        <w:rPr>
          <w:sz w:val="20"/>
          <w:szCs w:val="20"/>
          <w:color w:val="auto"/>
        </w:rPr>
      </w:pPr>
    </w:p>
    <w:p>
      <w:pPr>
        <w:sectPr>
          <w:pgSz w:w="11900" w:h="16838" w:orient="portrait"/>
          <w:cols w:equalWidth="0" w:num="2">
            <w:col w:w="7020" w:space="720"/>
            <w:col w:w="3500"/>
          </w:cols>
          <w:pgMar w:left="320" w:top="337" w:right="339" w:bottom="1440" w:gutter="0" w:footer="0" w:header="0"/>
          <w:type w:val="continuous"/>
        </w:sectPr>
      </w:pP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We manage our operations as a single reportable segment for the purposes of assessing performance and making operating decisions.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Transactions between related parties are considered to be related party transactions even though they may not be given accounting recognition. ASC 850, </w:t>
      </w:r>
      <w:r>
        <w:rPr>
          <w:rFonts w:ascii="Times New Roman" w:cs="Times New Roman" w:eastAsia="Times New Roman" w:hAnsi="Times New Roman"/>
          <w:sz w:val="18"/>
          <w:szCs w:val="18"/>
          <w:i w:val="1"/>
          <w:iCs w:val="1"/>
          <w:color w:val="auto"/>
        </w:rPr>
        <w:t xml:space="preserve">Related Party Disclosures </w:t>
      </w:r>
      <w:r>
        <w:rPr>
          <w:rFonts w:ascii="Times New Roman" w:cs="Times New Roman" w:eastAsia="Times New Roman" w:hAnsi="Times New Roman"/>
          <w:sz w:val="18"/>
          <w:szCs w:val="18"/>
          <w:color w:val="auto"/>
        </w:rPr>
        <w:t>(ASC 850) requires that transactions with related parties that would make a difference in decision-making shall be disclosed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users of the financial statements can evaluate their significance.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Principles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adopted ASU 2023-09 on a prospective basis effective April 1, 2025, resulting in enhanced income tax disclosures. See Note 10, Income Taxes, for the enhanced disclosures required under ASU 2023-09.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Accounting Pronouncements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which requires disaggregated disclosure of certain expense categories on the face of the income statement or in the notes. ASU 2024-03 is effective for annual reporting periods beginning after December 15, 2026, and for interim reporting periods within annual reporting periods beginning after December 15, 2027. For us, this means the standard will first apply to our annual financial statements for the year ending March 31, 2028, and to our interim financial statements beginning with the quarter ending June 30, 2028. Early adoption is permitted. We are currently evaluating the impact of adoption.</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This guidance modernizes the accounting</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framework for internal-use software by providing clearer criteria for capitalization, including the requirement to assess whether significant development uncertainty exists. ASU 2025-06 is effective for annual reporting periods beginning after December 15, 2027, and interim reporting periods within those annual reporting periods. For us, this means the standard will first apply to our annual and interim financial statements beginning with the fiscal year ending March 31, 2029. Early adoption is permitted. We are currently evaluating the impact of this guidance on our consolidated financial statements.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w:t>
      </w:r>
      <w:r>
        <w:rPr>
          <w:rFonts w:ascii="Times New Roman" w:cs="Times New Roman" w:eastAsia="Times New Roman" w:hAnsi="Times New Roman"/>
          <w:sz w:val="18"/>
          <w:szCs w:val="18"/>
          <w:color w:val="auto"/>
        </w:rPr>
        <w:t>: Narrow-Scope Improvements, which provides clarity on the required interim disclosures under Topic 270 by providing a comprehensive list of required interim disclosures, and clarifies the applicability of Topic 270. ASU 2025-11 is effective for interim reporting periods within fiscal years beginning after December 15, 2027. For us, this means the standard will first apply to our interim financial statements beginning with the quarter ending June 30, 2028. ASU 2025-11 may be adopted on a prospective or retrospective basis, and early adoption is permitted. We are currently evaluating the impact of this guidance on our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includes 33 amendments to the Accounting Standards Codification intended to clarify existing guidance, correct technical errors, and address minor inconsistencies across a broad range of topics. ASU 2025-12 is effective for the Company for annual reporting periods beginning after December 15, 2026. For us, this means the standard will first apply to our annual financial statements for the year ending March 31, 2028. Early adoption is permitted. We have evaluated the amendments in ASU 2025-12 and do not expect adoption to have a material impact on our consolidated financial statements or disclosures.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considered all other recently issued accounting pronouncements and do not believe any are relevant to, or will have a material impact on, our consolidated financial position, results of operations, or cash flows other than those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our cash, cash equivalents and marketable securities at fair value as of March 31, 2026 and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40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30,789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14,614</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w:t>
            </w: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30,789</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14,614</w:t>
            </w:r>
          </w:p>
        </w:tc>
        <w:tc>
          <w:tcPr>
            <w:tcW w:w="1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45,403</w:t>
            </w:r>
          </w:p>
        </w:tc>
      </w:tr>
      <w:tr>
        <w:trPr>
          <w:trHeight w:val="20"/>
        </w:trPr>
        <w:tc>
          <w:tcPr>
            <w:tcW w:w="4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40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67,131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13,351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w:t>
            </w: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67,131</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13,351</w:t>
            </w:r>
          </w:p>
        </w:tc>
        <w:tc>
          <w:tcPr>
            <w:tcW w:w="1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80,482</w:t>
            </w:r>
          </w:p>
        </w:tc>
      </w:tr>
      <w:tr>
        <w:trPr>
          <w:trHeight w:val="20"/>
        </w:trPr>
        <w:tc>
          <w:tcPr>
            <w:tcW w:w="4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our prepaid and other current assets, accounts payable, and accrued liabilities, approximate fair value due to their short term nature. We had no financial liabilities measured at fair value on a recurring basis at March 31, 2026 or 2025. There were no transfers between Levels 1, 2 or 3 for any of the periods presented.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marketable securities consist solely of U.S. Treasury notes, for which the expected credit loss is considered to be zero. Accordingly, no allowance for credit losses has been recorded on our available-for-sale debt securities as of March 31, 2026 or 2025.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summarizes our marketable securities as of March 31, 2026 and 2025 (in thousands):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9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Maturity (in years)</w:t>
            </w:r>
          </w:p>
        </w:tc>
        <w:tc>
          <w:tcPr>
            <w:tcW w:w="1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15"/>
                <w:szCs w:val="15"/>
                <w:color w:val="auto"/>
              </w:rPr>
            </w:pPr>
          </w:p>
        </w:tc>
        <w:tc>
          <w:tcPr>
            <w:tcW w:w="1400" w:type="dxa"/>
            <w:vAlign w:val="bottom"/>
            <w:gridSpan w:val="3"/>
          </w:tcPr>
          <w:p>
            <w:pPr>
              <w:jc w:val="center"/>
              <w:ind w:right="4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60" w:type="dxa"/>
            <w:vAlign w:val="bottom"/>
          </w:tcPr>
          <w:p>
            <w:pPr>
              <w:spacing w:after="0"/>
              <w:rPr>
                <w:sz w:val="15"/>
                <w:szCs w:val="15"/>
                <w:color w:val="auto"/>
              </w:rPr>
            </w:pPr>
          </w:p>
        </w:tc>
        <w:tc>
          <w:tcPr>
            <w:tcW w:w="1640" w:type="dxa"/>
            <w:vAlign w:val="bottom"/>
            <w:gridSpan w:val="4"/>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7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1700" w:type="dxa"/>
            <w:vAlign w:val="bottom"/>
            <w:tcBorders>
              <w:bottom w:val="single" w:sz="8" w:color="auto"/>
            </w:tcBorders>
            <w:gridSpan w:val="3"/>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9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Less than 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14,614</w:t>
            </w:r>
          </w:p>
        </w:tc>
        <w:tc>
          <w:tcPr>
            <w:tcW w:w="0" w:type="dxa"/>
            <w:vAlign w:val="bottom"/>
          </w:tcPr>
          <w:p>
            <w:pPr>
              <w:spacing w:after="0"/>
              <w:rPr>
                <w:sz w:val="1"/>
                <w:szCs w:val="1"/>
                <w:color w:val="auto"/>
              </w:rPr>
            </w:pPr>
          </w:p>
        </w:tc>
      </w:tr>
      <w:tr>
        <w:trPr>
          <w:trHeight w:val="223"/>
        </w:trPr>
        <w:tc>
          <w:tcPr>
            <w:tcW w:w="3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14,614</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Maturity (in years)</w:t>
            </w:r>
          </w:p>
        </w:tc>
        <w:tc>
          <w:tcPr>
            <w:tcW w:w="1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14"/>
                <w:szCs w:val="14"/>
                <w:color w:val="auto"/>
              </w:rPr>
            </w:pPr>
          </w:p>
        </w:tc>
        <w:tc>
          <w:tcPr>
            <w:tcW w:w="1400" w:type="dxa"/>
            <w:vAlign w:val="bottom"/>
            <w:gridSpan w:val="3"/>
          </w:tcPr>
          <w:p>
            <w:pPr>
              <w:jc w:val="center"/>
              <w:ind w:right="4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60" w:type="dxa"/>
            <w:vAlign w:val="bottom"/>
          </w:tcPr>
          <w:p>
            <w:pPr>
              <w:spacing w:after="0"/>
              <w:rPr>
                <w:sz w:val="14"/>
                <w:szCs w:val="14"/>
                <w:color w:val="auto"/>
              </w:rPr>
            </w:pPr>
          </w:p>
        </w:tc>
        <w:tc>
          <w:tcPr>
            <w:tcW w:w="1640" w:type="dxa"/>
            <w:vAlign w:val="bottom"/>
            <w:gridSpan w:val="4"/>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4"/>
                <w:szCs w:val="14"/>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7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gridSpan w:val="3"/>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9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Less than 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13,351</w:t>
            </w:r>
          </w:p>
        </w:tc>
        <w:tc>
          <w:tcPr>
            <w:tcW w:w="0" w:type="dxa"/>
            <w:vAlign w:val="bottom"/>
          </w:tcPr>
          <w:p>
            <w:pPr>
              <w:spacing w:after="0"/>
              <w:rPr>
                <w:sz w:val="1"/>
                <w:szCs w:val="1"/>
                <w:color w:val="auto"/>
              </w:rPr>
            </w:pPr>
          </w:p>
        </w:tc>
      </w:tr>
      <w:tr>
        <w:trPr>
          <w:trHeight w:val="223"/>
        </w:trPr>
        <w:tc>
          <w:tcPr>
            <w:tcW w:w="3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13,351</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1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302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1,335</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1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19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1,880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5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(1,073)</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depreciation expense of $0.2 million and $0.2 million for the years ended March 31, 2026 and 2025, respectively.</w:t>
      </w:r>
    </w:p>
    <w:p>
      <w:pPr>
        <w:spacing w:after="0" w:line="221" w:lineRule="exact"/>
        <w:rPr>
          <w:sz w:val="20"/>
          <w:szCs w:val="20"/>
          <w:color w:val="auto"/>
        </w:rPr>
      </w:pPr>
    </w:p>
    <w:p>
      <w:pPr>
        <w:ind w:right="9960" w:firstLine="8"/>
        <w:spacing w:after="0" w:line="503" w:lineRule="auto"/>
        <w:tabs>
          <w:tab w:leader="none" w:pos="1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Operating Lease</w:t>
      </w: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single lease for our headquarters, which includes office and laboratory space, in South San Francisco, California. The lease commenced in April 2013, and was subsequently amended in 2016 to extend the lease term to July 31, 2022, and included one five-year extension option. For the purpose of determining the right-of-use asset and associated lease liability, we determined that we would likely exercise the five-year extension option through July 2027. On October 14, 2021, we entered into an amendment to the lease (the Lease Amendment), pursuant to which the term of the lease was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extended from August 1, 2022 to July 31, 2027. Under the terms of the Lease Amendment, we have the option to renew the lease for an additional five-year term commencing on August 1, 2027. We did not include this renewal option in determining the lease term, as we were not reasonably certain to exercise either renewal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 of operating lease costs in our consolidated statements of operations (in thousands):</w:t>
      </w:r>
    </w:p>
    <w:p>
      <w:pPr>
        <w:spacing w:after="0" w:line="25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0" w:type="dxa"/>
            <w:vAlign w:val="bottom"/>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650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80" w:type="dxa"/>
            <w:vAlign w:val="bottom"/>
            <w:gridSpan w:val="3"/>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080" w:type="dxa"/>
            <w:vAlign w:val="bottom"/>
            <w:tcBorders>
              <w:bottom w:val="single" w:sz="8" w:color="CCEEFF"/>
            </w:tcBorders>
            <w:gridSpan w:val="2"/>
            <w:shd w:val="clear" w:color="auto" w:fill="CCEEFF"/>
          </w:tcPr>
          <w:p>
            <w:pPr>
              <w:jc w:val="right"/>
              <w:ind w:right="5650"/>
              <w:spacing w:after="0"/>
              <w:rPr>
                <w:sz w:val="20"/>
                <w:szCs w:val="20"/>
                <w:color w:val="auto"/>
              </w:rPr>
            </w:pPr>
            <w:r>
              <w:rPr>
                <w:rFonts w:ascii="Times New Roman" w:cs="Times New Roman" w:eastAsia="Times New Roman" w:hAnsi="Times New Roman"/>
                <w:sz w:val="18"/>
                <w:szCs w:val="18"/>
                <w:color w:val="auto"/>
              </w:rPr>
              <w:t>Total lease cost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1,066</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w w:val="99"/>
              </w:rPr>
              <w:t>Maturities of lease liabilities as of March 31, 2026 were as follows (in thousands):</w:t>
            </w: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6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4"/>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March 31,</w:t>
            </w:r>
          </w:p>
        </w:tc>
        <w:tc>
          <w:tcPr>
            <w:tcW w:w="10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gridSpan w:val="3"/>
          </w:tcPr>
          <w:p>
            <w:pPr>
              <w:jc w:val="right"/>
              <w:ind w:right="5770"/>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spacing w:after="0"/>
              <w:rPr>
                <w:sz w:val="22"/>
                <w:szCs w:val="22"/>
                <w:color w:val="auto"/>
              </w:rPr>
            </w:pPr>
          </w:p>
        </w:tc>
        <w:tc>
          <w:tcPr>
            <w:tcW w:w="6500" w:type="dxa"/>
            <w:vAlign w:val="bottom"/>
            <w:shd w:val="clear" w:color="auto" w:fill="CCEEFF"/>
          </w:tcPr>
          <w:p>
            <w:pPr>
              <w:jc w:val="right"/>
              <w:ind w:right="5770"/>
              <w:spacing w:after="0"/>
              <w:rPr>
                <w:sz w:val="20"/>
                <w:szCs w:val="20"/>
                <w:color w:val="auto"/>
              </w:rPr>
            </w:pPr>
            <w:r>
              <w:rPr>
                <w:rFonts w:ascii="Times New Roman" w:cs="Times New Roman" w:eastAsia="Times New Roman" w:hAnsi="Times New Roman"/>
                <w:sz w:val="18"/>
                <w:szCs w:val="18"/>
                <w:color w:val="auto"/>
              </w:rPr>
              <w:t>2028</w:t>
            </w:r>
          </w:p>
        </w:tc>
        <w:tc>
          <w:tcPr>
            <w:tcW w:w="10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0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 current portion</w:t>
            </w:r>
          </w:p>
        </w:tc>
        <w:tc>
          <w:tcPr>
            <w:tcW w:w="10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10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had a remaining term of 1.3 years and 2.3 years as of March 31, 2026 and 2025, respectively. The lease liability was calculated based on a weighted-average discount rate of 8.54% as of March 31, 2026 and 2025. During the years ended March 31, 2026 and 2025, we made cash payments for amounts included in the measurement of lease liabilities of $0.7 million and $0.8 million,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are composed of the following (in thousands):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93"/>
        </w:trPr>
        <w:tc>
          <w:tcPr>
            <w:tcW w:w="3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As of March 31,</w:t>
            </w:r>
          </w:p>
        </w:tc>
        <w:tc>
          <w:tcPr>
            <w:tcW w:w="920" w:type="dxa"/>
            <w:vAlign w:val="bottom"/>
            <w:tcBorders>
              <w:bottom w:val="single" w:sz="8" w:color="auto"/>
            </w:tcBorders>
          </w:tcPr>
          <w:p>
            <w:pPr>
              <w:spacing w:after="0"/>
              <w:rPr>
                <w:sz w:val="24"/>
                <w:szCs w:val="24"/>
                <w:color w:val="auto"/>
              </w:rPr>
            </w:pPr>
          </w:p>
        </w:tc>
      </w:tr>
      <w:tr>
        <w:trPr>
          <w:trHeight w:val="250"/>
        </w:trPr>
        <w:tc>
          <w:tcPr>
            <w:tcW w:w="380" w:type="dxa"/>
            <w:vAlign w:val="bottom"/>
          </w:tcPr>
          <w:p>
            <w:pPr>
              <w:spacing w:after="0"/>
              <w:rPr>
                <w:sz w:val="21"/>
                <w:szCs w:val="21"/>
                <w:color w:val="auto"/>
              </w:rPr>
            </w:pPr>
          </w:p>
        </w:tc>
        <w:tc>
          <w:tcPr>
            <w:tcW w:w="74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57"/>
        </w:trPr>
        <w:tc>
          <w:tcPr>
            <w:tcW w:w="38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r>
      <w:tr>
        <w:trPr>
          <w:trHeight w:val="250"/>
        </w:trPr>
        <w:tc>
          <w:tcPr>
            <w:tcW w:w="380" w:type="dxa"/>
            <w:vAlign w:val="bottom"/>
          </w:tcPr>
          <w:p>
            <w:pPr>
              <w:spacing w:after="0"/>
              <w:rPr>
                <w:sz w:val="21"/>
                <w:szCs w:val="21"/>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 costs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63"/>
        </w:trPr>
        <w:tc>
          <w:tcPr>
            <w:tcW w:w="38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and professional service fees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50"/>
        </w:trPr>
        <w:tc>
          <w:tcPr>
            <w:tcW w:w="380" w:type="dxa"/>
            <w:vAlign w:val="bottom"/>
          </w:tcPr>
          <w:p>
            <w:pPr>
              <w:spacing w:after="0"/>
              <w:rPr>
                <w:sz w:val="21"/>
                <w:szCs w:val="21"/>
                <w:color w:val="auto"/>
              </w:rPr>
            </w:pPr>
          </w:p>
        </w:tc>
        <w:tc>
          <w:tcPr>
            <w:tcW w:w="7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82"/>
        </w:trPr>
        <w:tc>
          <w:tcPr>
            <w:tcW w:w="380" w:type="dxa"/>
            <w:vAlign w:val="bottom"/>
          </w:tcPr>
          <w:p>
            <w:pPr>
              <w:spacing w:after="0"/>
              <w:rPr>
                <w:sz w:val="24"/>
                <w:szCs w:val="24"/>
                <w:color w:val="auto"/>
              </w:rPr>
            </w:pPr>
          </w:p>
        </w:tc>
        <w:tc>
          <w:tcPr>
            <w:tcW w:w="7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r>
      <w:tr>
        <w:trPr>
          <w:trHeight w:val="20"/>
        </w:trPr>
        <w:tc>
          <w:tcPr>
            <w:tcW w:w="38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Note Payable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we executed a 6.54% promissory note in the principal amount of $1.0 million in connection with certain insurance policy premiums. The note is payable in monthly installments of approximately $0.1 million, including principal and interest, through April 2026. As of March 31, 2026, the outstanding balance related to the premium financing was approximately $0.1 million. Interest accrued related to the premium financing arrangement was immaterial as of March 31, 2026.</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10000" w:firstLine="8"/>
        <w:spacing w:after="0" w:line="500" w:lineRule="auto"/>
        <w:tabs>
          <w:tab w:leader="none" w:pos="1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Common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2023 Public Offering</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October 2, 2023, we completed an underwritten public offering (the October 2023 Public Offering), whereby we offered and sold, for gross proceeds of approximately $100 million, a total of 15,010,810 shares of our common stock and a total of 3,577,240 pre-funded warrants to purchase up to 3,577,240 shares of common stock (the Pre-Funded 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Each share of common stock and each Pre-Funded Warrant was issued together with a ratably allocated portion of warrants to purchase up to 9,294,022 shares of common stock with an exercise price of $5.38 per share (the T1 Warrants) and warrants to purchase 11,265,086 shares of common stock with an exercise price of $8.877 per share (the T2 Warrants). The net proceeds to us from the October 2023 Public Offering were approximately $93.5 million, after deducting expenses related to the offering, including commissions, legal expenses and other offering costs.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Pre-Funded Warrants, T1 Warrants and T2 Warrants (collectively, the Warrants) are fully exercisable, only at the option of the holder. Holders may also exercise the T1 Warrants and T2 Warrants for Pre-Funded Warrants at their option. We may not effect the exercise of any Warrants, and a holder will not be entitled to exercise any portion of any of the Warrants, which, upon giving effect to such exercise, would cause the aggregate number of shares of common stock beneficially owned by the holder of such Warrant (together with its affiliates) to exceed 9.99% of the number of shares of common stock outstanding immediately after giving effect to the exercise. However, any holder may increase or decrease such percentage to any other percentage (not to exceed 19.99% if exceeding such percentage would result in a change of control under Nasdaq Listing Rule 5636(b) or any successor rule) upon at least 61 days’ prior notice from the holder to us subject to the terms of the respective warrant agreement.</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evaluated the terms of the Warrants issued and determined that they should be classified as equity instruments within additional paid-in capital. The Pre-Funded Warrants are equity classified because they (i) are freestanding financial instruments that are legally detachable and separately exercisable from the other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May 2021, we entered into an Open Market Sale Agreement (the Sales Agreement) with Jefferies LLC (Jefferies) which enabled us, in our sole discretion, to offer and sell, from time to time, shares of our common stock for aggregate gross proceeds of up to $75.0 million. In February 2024, the aggregate gross proceeds available under the Sales Agreement was increased to $100 million, and in June 2025, the aggregate offering price available under the Sales Agreement was increased to up to $175 million. As of March 31, 2026, approximately $140.5 million of common stock remained available for sale under the Sales Agreement.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March 31, 2026 and 2025, we sold an aggregate of 10,403,244 and 1,108,587 shares, respectively, under the Sales Agreement, for net proceeds of $30.6 million and $3.0 million, respectively, after sales agent commissions. We pay Jefferies a commission of up to three percent (3.0%) of the aggregate gross proceeds from any sales under the Sales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transactions under the Sales Agreement on a settlement date basis. All legal fees and accounting expenses incurred in connection with the Sales Agreement are recorded as Deferred Offering Costs and are amortized to Additional Paid-in Capital as sales of shares are made under the Sales Agreement. The Sales Agreement will terminate upon the earlier of (i) the sale of all shares subject to the Sales Agreement or (ii) the termination of the Sales Agreement by Jefferies or by us, as permitted.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15, Subsequent Events, for information regarding sales of common stock under the Sales Agreement after March 31,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 Expirations and Modifications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following common stock warrants were outstanding: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Number of common shares</w:t>
            </w:r>
          </w:p>
        </w:tc>
        <w:tc>
          <w:tcPr>
            <w:tcW w:w="36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36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41"/>
        </w:trPr>
        <w:tc>
          <w:tcPr>
            <w:tcW w:w="39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underlying warrants</w:t>
            </w:r>
          </w:p>
        </w:tc>
        <w:tc>
          <w:tcPr>
            <w:tcW w:w="36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36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date</w:t>
            </w:r>
          </w:p>
        </w:tc>
      </w:tr>
      <w:tr>
        <w:trPr>
          <w:trHeight w:val="232"/>
        </w:trPr>
        <w:tc>
          <w:tcPr>
            <w:tcW w:w="396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2,788,620</w:t>
            </w:r>
          </w:p>
        </w:tc>
        <w:tc>
          <w:tcPr>
            <w:tcW w:w="36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$0.001</w:t>
            </w:r>
          </w:p>
        </w:tc>
        <w:tc>
          <w:tcPr>
            <w:tcW w:w="36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9"/>
        </w:trPr>
        <w:tc>
          <w:tcPr>
            <w:tcW w:w="39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9,294,022</w:t>
            </w:r>
          </w:p>
        </w:tc>
        <w:tc>
          <w:tcPr>
            <w:tcW w:w="3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$5.380</w:t>
            </w:r>
          </w:p>
        </w:tc>
        <w:tc>
          <w:tcPr>
            <w:tcW w:w="36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(a)</w:t>
            </w:r>
          </w:p>
        </w:tc>
      </w:tr>
      <w:tr>
        <w:trPr>
          <w:trHeight w:val="230"/>
        </w:trPr>
        <w:tc>
          <w:tcPr>
            <w:tcW w:w="396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8"/>
              </w:rPr>
              <w:t>11,265,086</w:t>
            </w:r>
          </w:p>
        </w:tc>
        <w:tc>
          <w:tcPr>
            <w:tcW w:w="36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$8.877</w:t>
            </w:r>
          </w:p>
        </w:tc>
        <w:tc>
          <w:tcPr>
            <w:tcW w:w="36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10/4/2028</w:t>
            </w:r>
          </w:p>
        </w:tc>
      </w:tr>
    </w:tbl>
    <w:p>
      <w:pPr>
        <w:spacing w:after="0" w:line="193" w:lineRule="exact"/>
        <w:rPr>
          <w:sz w:val="20"/>
          <w:szCs w:val="20"/>
          <w:color w:val="auto"/>
        </w:rPr>
      </w:pPr>
    </w:p>
    <w:p>
      <w:pPr>
        <w:jc w:val="both"/>
        <w:ind w:left="660" w:hanging="4"/>
        <w:spacing w:after="0" w:line="268" w:lineRule="auto"/>
        <w:tabs>
          <w:tab w:leader="none" w:pos="861"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will expire 60 days after the later of (i) the date on which the Company first publicly discloses, whether by press release or Form 8-K filing, the top-line data for its PALISADE-3 Phase 3 clinical trial of fasedienol for the acute treatment of anxiety in adults with SAD, which occurred in December 2025, and (ii) the date on which the Company first publicly discloses, whether by press release or Form 8-K filing, the top-line data for its PALISADE-4 Phase 3 clinical trial of fasedienol for the acute treatment of anxiety in adults with SAD.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exercise price of all outstanding warrants at March 31, 2026 is $7.30 per share. No outstanding warrant is subject to any down-round anti-dilution protection feature. All outstanding warrants are exercisable by the holders only by payment in cash of the stated exercise price per share, except the Pre-Funded Warrants and the T2 Warrants issued in connection with the October 2023 Public Offering, which may be exercised through a cashless exercise, via exchange of a portion of warrants to cover the exercise price.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warrants exercised during the year ended March 31, 2026. During the year ended March 31, 2025, Pre-Funded Warrants to purchase 788,620 shares of common stock were exercised on a cashless basis, resulting in the issuance of 788,359 shares of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March 31, 2026 and 2025, warrants to purchase 12,352 and 33,334 shares of common stock expired, with a weighted average exercise prices of $21.90 and $15.00 per share,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We had the following shares of common stock reserved for future issuance:</w:t>
            </w: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640" w:type="dxa"/>
            <w:vAlign w:val="bottom"/>
          </w:tcPr>
          <w:p>
            <w:pPr>
              <w:spacing w:after="0"/>
              <w:rPr>
                <w:sz w:val="24"/>
                <w:szCs w:val="24"/>
                <w:color w:val="auto"/>
              </w:rPr>
            </w:pPr>
          </w:p>
        </w:tc>
        <w:tc>
          <w:tcPr>
            <w:tcW w:w="3160" w:type="dxa"/>
            <w:vAlign w:val="bottom"/>
            <w:tcBorders>
              <w:bottom w:val="single" w:sz="8" w:color="auto"/>
            </w:tcBorders>
            <w:gridSpan w:val="3"/>
          </w:tcPr>
          <w:p>
            <w:pPr>
              <w:ind w:left="168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64"/>
        </w:trPr>
        <w:tc>
          <w:tcPr>
            <w:tcW w:w="66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Issuance of common stock upon exercise of outstanding stock options under the Amended</w:t>
            </w:r>
          </w:p>
        </w:tc>
        <w:tc>
          <w:tcPr>
            <w:tcW w:w="2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and Restated 2016 Stock Incentive Plan and the Amended and Restated 2019 Omnibus</w:t>
            </w:r>
          </w:p>
        </w:tc>
        <w:tc>
          <w:tcPr>
            <w:tcW w:w="2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4,457,368</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3,239,642</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and inducement awards granted outside of the 2019 Plan</w:t>
            </w:r>
          </w:p>
        </w:tc>
        <w:tc>
          <w:tcPr>
            <w:tcW w:w="23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outstanding warrants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43,907,097</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43,952,783</w:t>
            </w:r>
          </w:p>
        </w:tc>
        <w:tc>
          <w:tcPr>
            <w:tcW w:w="0" w:type="dxa"/>
            <w:vAlign w:val="bottom"/>
          </w:tcPr>
          <w:p>
            <w:pPr>
              <w:spacing w:after="0"/>
              <w:rPr>
                <w:sz w:val="1"/>
                <w:szCs w:val="1"/>
                <w:color w:val="auto"/>
              </w:rPr>
            </w:pPr>
          </w:p>
        </w:tc>
      </w:tr>
      <w:tr>
        <w:trPr>
          <w:trHeight w:val="184"/>
        </w:trPr>
        <w:tc>
          <w:tcPr>
            <w:tcW w:w="6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awards available under the Amended and Restated 2019 Omnibus Equity</w:t>
            </w:r>
          </w:p>
        </w:tc>
        <w:tc>
          <w:tcPr>
            <w:tcW w:w="2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Plan</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1,122,097</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2,042,153</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the 2019 Employee Stock Purchase Plan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693,558</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911,342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under the Sales Agreement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17,548,172</w:t>
            </w: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27,951,416</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67,728,292</w:t>
            </w:r>
          </w:p>
        </w:tc>
        <w:tc>
          <w:tcPr>
            <w:tcW w:w="2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78,097,336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we have 217,605,705 authorized shares of our common stock not subject to reserves and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940" w:firstLine="8"/>
        <w:spacing w:after="0" w:line="502" w:lineRule="auto"/>
        <w:tabs>
          <w:tab w:leader="none" w:pos="1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Equity Incentive Plans</w:t>
      </w:r>
    </w:p>
    <w:p>
      <w:pPr>
        <w:spacing w:after="0"/>
        <w:rPr>
          <w:sz w:val="20"/>
          <w:szCs w:val="20"/>
          <w:color w:val="auto"/>
        </w:rPr>
      </w:pPr>
      <w:r>
        <w:rPr>
          <w:rFonts w:ascii="Times New Roman" w:cs="Times New Roman" w:eastAsia="Times New Roman" w:hAnsi="Times New Roman"/>
          <w:sz w:val="18"/>
          <w:szCs w:val="18"/>
          <w:i w:val="1"/>
          <w:iCs w:val="1"/>
          <w:color w:val="auto"/>
        </w:rPr>
        <w:t>2016 Equity Incentive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2016 Stock Incentive Plan (the 2016 Plan) provided for the grant of stock options, restricted shares of common stock, stock appreciation rights and dividend equivalent rights to employees, officers, members of the board of directors, consultants and advisors of the Company. Upon the adoption of our 2019 Plan, no further grants were permissible under the 2016 Plan and 46,280 authorized shares were transferred to the 2019 Plan and became issuable therefrom. Any options or awards outstanding under the 2016 Plan remained outstanding and 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approved the Vistagen Therapeutics, Inc. 2019 Omnibus Equity Incentive Plan (the 2019 Plan) on May 27, 2019, and our stockholders adopted it and ratified all previously issued grants on September 5, 2019. The 2019 Plan provides for the grant of stock options, stock appreciation rights, restricted stock, restricted stock units and other stock-based awards.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28, 2021, our Board approved and, at our Annual Meeting of Stockholders on September 17, 2021, our stockholders approved certain amendments to the 2019 Plan (Amended 2019 Plan). Upon approval of the Amended 2019 Plan by our stockholders, the total number of shares authorized to be issued under the 2019 Plan increased to 600,000 shares. On May 29, 2024, our Board and stockholders approved certain amendments to the 2019 Plan (Amended and Restated 2019 Plan). Upon approval of the Amended and Restated 2019 Plan by our stockholders, the total number of shares authorized to be issued under the 2019 Plan increased to 5,000,000 shares.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there were 1,122,097 registered shares of our common stock remaining available for grant under the Amended and Restated 2019 Plan.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Awards granted under our equity plans expire no later than 10 years from the date of grant. Options and restricted stock granted to employees typically vest over a four-year period but may have been granted with different vesting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for the year ended March 31, 2026 is as follows (in thousands, except share and per share data and years):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19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3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16"/>
                <w:szCs w:val="16"/>
                <w:color w:val="auto"/>
              </w:rPr>
            </w:pPr>
          </w:p>
        </w:tc>
        <w:tc>
          <w:tcPr>
            <w:tcW w:w="1780" w:type="dxa"/>
            <w:vAlign w:val="bottom"/>
            <w:gridSpan w:val="3"/>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9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340" w:type="dxa"/>
            <w:vAlign w:val="bottom"/>
          </w:tcPr>
          <w:p>
            <w:pPr>
              <w:spacing w:after="0"/>
              <w:rPr>
                <w:sz w:val="19"/>
                <w:szCs w:val="19"/>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3,239,642</w:t>
            </w:r>
          </w:p>
        </w:tc>
        <w:tc>
          <w:tcPr>
            <w:tcW w:w="2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1,831,827</w:t>
            </w:r>
          </w:p>
        </w:tc>
        <w:tc>
          <w:tcPr>
            <w:tcW w:w="12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2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(482,103)</w:t>
            </w:r>
          </w:p>
        </w:tc>
        <w:tc>
          <w:tcPr>
            <w:tcW w:w="12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(129,668)</w:t>
            </w:r>
          </w:p>
        </w:tc>
        <w:tc>
          <w:tcPr>
            <w:tcW w:w="12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4,457,368</w:t>
            </w:r>
          </w:p>
        </w:tc>
        <w:tc>
          <w:tcPr>
            <w:tcW w:w="12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2,419,193</w:t>
            </w:r>
          </w:p>
        </w:tc>
        <w:tc>
          <w:tcPr>
            <w:tcW w:w="1260" w:type="dxa"/>
            <w:vAlign w:val="bottom"/>
            <w:tcBorders>
              <w:bottom w:val="single" w:sz="8" w:color="CCEEFF"/>
            </w:tcBorders>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March 31, 2026</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4,457,368</w:t>
            </w:r>
          </w:p>
        </w:tc>
        <w:tc>
          <w:tcPr>
            <w:tcW w:w="1260" w:type="dxa"/>
            <w:vAlign w:val="bottom"/>
            <w:gridSpan w:val="2"/>
          </w:tcPr>
          <w:p>
            <w:pPr>
              <w:jc w:val="right"/>
              <w:ind w:right="8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7.78</w:t>
            </w:r>
          </w:p>
        </w:tc>
        <w:tc>
          <w:tcPr>
            <w:tcW w:w="24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7"/>
                <w:szCs w:val="17"/>
                <w:color w:val="auto"/>
              </w:rPr>
            </w:pPr>
          </w:p>
        </w:tc>
        <w:tc>
          <w:tcPr>
            <w:tcW w:w="3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stock options granted was estimated using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37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Risk-free interest rate</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3.6 % - 4.2 %</w:t>
            </w:r>
          </w:p>
        </w:tc>
        <w:tc>
          <w:tcPr>
            <w:tcW w:w="30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3.5 % - 4.5 %</w:t>
            </w:r>
          </w:p>
        </w:tc>
      </w:tr>
      <w:tr>
        <w:trPr>
          <w:trHeight w:val="230"/>
        </w:trPr>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Expected term (years)</w:t>
            </w:r>
          </w:p>
        </w:tc>
        <w:tc>
          <w:tcPr>
            <w:tcW w:w="22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5.27 - 6.08</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r>
      <w:tr>
        <w:trPr>
          <w:trHeight w:val="229"/>
        </w:trPr>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155.1% - 164.3%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176.2%</w:t>
            </w:r>
          </w:p>
        </w:tc>
      </w:tr>
      <w:tr>
        <w:trPr>
          <w:trHeight w:val="257"/>
        </w:trPr>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Dividend yield</w:t>
            </w:r>
          </w:p>
        </w:tc>
        <w:tc>
          <w:tcPr>
            <w:tcW w:w="2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spacing w:after="0"/>
              <w:rPr>
                <w:sz w:val="22"/>
                <w:szCs w:val="22"/>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has been included in the consolidated statements of operations and comprehensive loss as follows (in thousands):</w:t>
      </w:r>
    </w:p>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520" w:type="dxa"/>
            <w:vAlign w:val="bottom"/>
            <w:tcBorders>
              <w:bottom w:val="single" w:sz="8" w:color="auto"/>
            </w:tcBorders>
          </w:tcPr>
          <w:p>
            <w:pPr>
              <w:spacing w:after="0"/>
              <w:rPr>
                <w:sz w:val="20"/>
                <w:szCs w:val="20"/>
                <w:color w:val="auto"/>
              </w:rPr>
            </w:pPr>
          </w:p>
        </w:tc>
      </w:tr>
      <w:tr>
        <w:trPr>
          <w:trHeight w:val="223"/>
        </w:trPr>
        <w:tc>
          <w:tcPr>
            <w:tcW w:w="59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r>
      <w:tr>
        <w:trPr>
          <w:trHeight w:val="250"/>
        </w:trPr>
        <w:tc>
          <w:tcPr>
            <w:tcW w:w="5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for the years ended March 31, 2026 and 2025 was $2.21 and $3.45 per share, respectively. For the years ended March 31, 2026 and 2025, the total fair value of options vested was $4.1 million and $4.0 million, respectively. The aggregate intrinsic value of options exercised for the years ended March 31, 2026 and 2025 was $0. As of March 31, 2026, total compensation cost not yet recognized related to unvested stock options was $5.3 million, which is expected to be recognized over a weighted-average period of 1.9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approved the Vistagen Therapeutics, Inc. 2019 Employee Stock Purchase Plan (the 2019 ESPP) on June 13, 2019. Our stockholders approved the 2019 ESPP at our annual meeting on September 5, 2019. The 2019 ESPP is intended to qualify as an employee stock purchase plan under Section 423 of the Internal Revenue Code. A maximum of 33,334 shares of our common stock were originally reserved for purchase under the 2019 ESPP. In May 2024, the 2019 ESPP was amended to increase the shares authorized to be issued under the 2019 ESPP to 1,000,000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2019 ESPP permits eligible employees who elect to participate in an offering under the 2019 ESPP to have up to 15% of their eligible earnings withheld, subject to certain limitations, to purchase shares of common stock pursuant to the 2019 ESPP. The price of common stock purchased under the 2019 ESPP is equal to 85% of the lower of the fair market value of the common stock at the commencement date of each offering period or the relevant date of purchase. Each offering period is six months, with new offering periods commencing every six months on or about the dates of January 1 and July 1 of each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March 31, 2026 and 2025, we issued 217,784 and 74,804 shares, respectively, of common stock in connection with the 2019 ESPP.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were 693,558 shares available for future purchase under the 2019 ESPP.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March 31, 2026 and 2025, we recognized an immaterial amount of expense under the 2019 ESPP.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the fiscal years ended March 31, 2026 and 2025, the Company's pre-tax loss of $69.7 million and $51.4 million, respectively, was derived entirely from U.S. operations. The Company had no foreign operations during either period.</w:t>
      </w:r>
    </w:p>
    <w:p>
      <w:pPr>
        <w:spacing w:after="0" w:line="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For each of the fiscal years ended March 31, 2026 and 2025, income tax expense consisted of current state income tax expense of approximately $7,000, with no federal, foreign or deferred income tax expense in either period.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tax expense (benefit) differed from the amounts computed by applying the statutory federal income tax rate of 21% to pretax income (loss) as a result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Amount</w:t>
            </w:r>
          </w:p>
        </w:tc>
        <w:tc>
          <w:tcPr>
            <w:tcW w:w="9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(14,633)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(10,798)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5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research and development credits</w:t>
            </w:r>
          </w:p>
        </w:tc>
        <w:tc>
          <w:tcPr>
            <w:tcW w:w="1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(2,204)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5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stock compensation</w:t>
            </w: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0.60 %</w:t>
            </w: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other non-deductible items</w:t>
            </w:r>
          </w:p>
        </w:tc>
        <w:tc>
          <w:tcPr>
            <w:tcW w:w="1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618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(federal only)</w:t>
            </w: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13,998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11,923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6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953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152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0" w:type="dxa"/>
            <w:vAlign w:val="bottom"/>
          </w:tcPr>
          <w:p>
            <w:pPr>
              <w:spacing w:after="0"/>
              <w:rPr>
                <w:sz w:val="1"/>
                <w:szCs w:val="1"/>
                <w:color w:val="auto"/>
              </w:rPr>
            </w:pPr>
          </w:p>
        </w:tc>
      </w:tr>
      <w:tr>
        <w:trPr>
          <w:trHeight w:val="25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4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'All other' reconciling item for fiscal year 2026 consists of a return-to-provision adjustment relating to the difference between the estimated tax provision recorded as of March 31, 2025 and the actual amounts reflected in the fiscal year 2025 income tax return.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net of refunds received, for the years ended March 31, 2026 and 2025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Year ended March 31,</w:t>
            </w:r>
          </w:p>
        </w:tc>
        <w:tc>
          <w:tcPr>
            <w:tcW w:w="106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w:t>
            </w:r>
          </w:p>
        </w:tc>
      </w:tr>
      <w:tr>
        <w:trPr>
          <w:trHeight w:val="25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and local income taxes paid during the fiscal year ended March 31, 2026 consisted primarily of income taxes paid to the Commonwealth of Massachusetts.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 (in thousands):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7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1"/>
                <w:szCs w:val="21"/>
                <w:color w:val="auto"/>
              </w:rPr>
            </w:pPr>
          </w:p>
        </w:tc>
      </w:tr>
      <w:tr>
        <w:trPr>
          <w:trHeight w:val="250"/>
        </w:trPr>
        <w:tc>
          <w:tcPr>
            <w:tcW w:w="70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7"/>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70,861</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51,324</w:t>
            </w:r>
          </w:p>
        </w:tc>
      </w:tr>
      <w:tr>
        <w:trPr>
          <w:trHeight w:val="25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differences in property and equipment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r>
      <w:tr>
        <w:trPr>
          <w:trHeight w:val="25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57"/>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15,087</w:t>
            </w:r>
          </w:p>
        </w:tc>
      </w:tr>
      <w:tr>
        <w:trPr>
          <w:trHeight w:val="257"/>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2"/>
                <w:szCs w:val="22"/>
                <w:color w:val="auto"/>
              </w:rPr>
            </w:pPr>
          </w:p>
        </w:tc>
        <w:tc>
          <w:tcPr>
            <w:tcW w:w="17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5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other reserves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5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93,368</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77,705</w:t>
            </w:r>
          </w:p>
        </w:tc>
      </w:tr>
      <w:tr>
        <w:trPr>
          <w:trHeight w:val="25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(93,368)</w:t>
            </w:r>
          </w:p>
        </w:tc>
        <w:tc>
          <w:tcPr>
            <w:tcW w:w="1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(77,681)</w:t>
            </w:r>
          </w:p>
        </w:tc>
      </w:tr>
      <w:tr>
        <w:trPr>
          <w:trHeight w:val="257"/>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40" w:type="dxa"/>
            <w:vAlign w:val="bottom"/>
          </w:tcPr>
          <w:p>
            <w:pPr>
              <w:spacing w:after="0"/>
              <w:rPr>
                <w:sz w:val="22"/>
                <w:szCs w:val="22"/>
                <w:color w:val="auto"/>
              </w:rPr>
            </w:pPr>
          </w:p>
        </w:tc>
        <w:tc>
          <w:tcPr>
            <w:tcW w:w="17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tcPr>
          <w:p>
            <w:pPr>
              <w:spacing w:after="0"/>
              <w:rPr>
                <w:sz w:val="21"/>
                <w:szCs w:val="21"/>
                <w:color w:val="auto"/>
              </w:rPr>
            </w:pPr>
          </w:p>
        </w:tc>
        <w:tc>
          <w:tcPr>
            <w:tcW w:w="17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differences in property and equipment</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4"/>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allowance increased by $15.7 million and $17.2 million during the fiscal years ended March 31, 2026 and 2025, respectively.</w:t>
      </w:r>
    </w:p>
    <w:p>
      <w:pPr>
        <w:spacing w:after="0" w:line="239"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color w:val="auto"/>
        </w:rPr>
        <w:t>We continually evaluates the likelihood of the realization of the deferred tax assets and adjusts the carrying amount of the deferred tax assets by the valuation allowance to the extent the future realization of the deferred tax assets is more likely than not. We consider many factors when assessing the likelihood of future realization of its deferred tax assets, including its recent cumulative earnings experience by tax jurisdiction, expectation of future taxable income or loss, the carryforward periods available to us for tax reporting purposes and other relevant factors. As of March 31, 2026, based on our history of earnings and its assessment of future earnings, management does not believe that it is more likely than not that future taxable income will be sufficient to realize the deferred tax assets. Therefore, a full valuation allowance has been applied to the deferred tax assets.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2026, we had U.S. federal net operating loss carryforwards of approximately $314.3 million. Federal net operating loss carryforwards of approximately $80.6 million generated through our fiscal year ended March 31, 2018 will expire in our fiscal years ending March 31, 2027 through March 31, 2038. Federal net operating loss carryforwards of approximately $233.7 million generated in fiscal years ending after March 31, 2018 will carry forward indefinitely, but are subject to an 80% taxable income limitation. As of March 31, 2026, we had state net operating loss carryforwards of approximately $63.7 million, which will expire in fiscal years ending in 2029 through 2045. State net operating loss carryforwards of approximately $10.8 million will carry forward indefinitely. We also have federal and state research and development tax credit carryforwards of approximately $8.6 million and $2.2 million, respectively. The federal tax credits will expire at various dates beginning with our fiscal year ending March 31, 2029 through March 31, 2045 unless previously utilized. The state tax credits do not expire and will carry forward indefinitely until utilized.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federal and state tax laws include substantial restrictions on the utilization of net operating loss carryforwards in the event of a change in a corporation's ownership. We have not performed a change in ownership analysis since our inception in 1998, and accordingly, some or all of our net operating loss carryforwards may not be available to offset future taxable income, if 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was enacted (“OBBBA”), introducing significant and wide-ranging changes to the U.S. federal tax system. Significant components include restoration of 100% accelerated tax depreciation on qualifying property including expansion to cover qualified production property. Another major aspect includes the return to immediate expensing of domestic research and experimental expenditures (“R&amp;E”) which in some cases may include retroactive application back to 2021 for businesses with gross receipts of less than $31 million or accelerated tax deductions of R&amp;E that was previously capitalized for larger businesses. The legislation also reinstates EBITDA-based interest deductions for tax purposes and makes several business tax incentives permanent. Less favorable business provisions include limitations on tax deductions for charitable contributions.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provisions of OBBBA most relevant to us are the restoration of immediate expensing for domestic R&amp;E expenditures and the related transition rules for amounts previously capitalized under TCJA. For the fiscal year ended March 31, 2026, our first tax year subject to OBBBA, domestic R&amp;E expenditures are currently deductible. With respect to the remaining unamortized balance of domestic R&amp;E previously capitalized for tax years 2022 through 2024, we elected to continue amortizing the balance over its remaining recovery period. Because we maintain a full valuation allowance against its deferred tax assets, these changes did not result in a net income tax provision impact. We have not yet evaluated whether it qualifies for the small-business retroactive expensing election under OBBBA, which is available to taxpayers with average annual gross receipts of $31 million or less. The other significant provisions of OBBBA, including the changes to international tax rules (NCTI, FDDEI, and BEAT) and the modifications to Section 163(j) and bonus depreciation, do not have a material impact on us because it has no foreign operations, limited interest expense, and limited property and equipment.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federal, and various U.S. state jurisdictions. We are subject to U.S. federal and state income tax examinations by tax authorities for tax years 2004 through 2026 due to net operating losses that are being carried forward for tax purposes, but we are not currently under examination by tax authorities in any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required by the uncertain tax position guidance in ASC No. 740, Income Taxes the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likelihood of being realized upon ultimate settlement with the relevant tax authority. We applied the uncertain tax position guidance in ASC 740 to all tax positions for which the statute of limitations remained open. Any estimates of tax contingencies contain assumptions and judgments about potential actions by taxing jurisdictions. Any interest and penalties related to uncertain tax positions would be included as part of the income tax provision.</w:t>
      </w:r>
    </w:p>
    <w:p>
      <w:pPr>
        <w:spacing w:after="0" w:line="21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unrecognized tax benefits at March 31, 2026 and 2025 relate entirely to research and development tax credits. The total amount of unrecognized tax benefits at March 31, 2026 and 2025 is $2.6 million and $2.4 million, respectively. If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18"/>
          <w:szCs w:val="18"/>
          <w:color w:val="auto"/>
        </w:rPr>
        <w:t>recognized, none of the unrecognized tax benefits would impact our effective tax rate. The following table summarizes the activity related to our unrecognized tax benefits (in thousands):</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245"/>
        </w:trPr>
        <w:tc>
          <w:tcPr>
            <w:tcW w:w="7040" w:type="dxa"/>
            <w:vAlign w:val="bottom"/>
          </w:tcPr>
          <w:p>
            <w:pPr>
              <w:spacing w:after="0"/>
              <w:rPr>
                <w:sz w:val="21"/>
                <w:szCs w:val="21"/>
                <w:color w:val="auto"/>
              </w:rPr>
            </w:pPr>
          </w:p>
        </w:tc>
        <w:tc>
          <w:tcPr>
            <w:tcW w:w="25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560" w:type="dxa"/>
            <w:vAlign w:val="bottom"/>
            <w:tcBorders>
              <w:bottom w:val="single" w:sz="8" w:color="auto"/>
            </w:tcBorders>
          </w:tcPr>
          <w:p>
            <w:pPr>
              <w:spacing w:after="0"/>
              <w:rPr>
                <w:sz w:val="21"/>
                <w:szCs w:val="21"/>
                <w:color w:val="auto"/>
              </w:rPr>
            </w:pPr>
          </w:p>
        </w:tc>
      </w:tr>
      <w:tr>
        <w:trPr>
          <w:trHeight w:val="250"/>
        </w:trPr>
        <w:tc>
          <w:tcPr>
            <w:tcW w:w="70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1"/>
                <w:szCs w:val="21"/>
                <w:color w:val="auto"/>
              </w:rPr>
            </w:pPr>
          </w:p>
        </w:tc>
      </w:tr>
      <w:tr>
        <w:trPr>
          <w:trHeight w:val="25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benefit - beginning of period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r>
      <w:tr>
        <w:trPr>
          <w:trHeight w:val="25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period position increases (decreases)</w:t>
            </w:r>
          </w:p>
        </w:tc>
        <w:tc>
          <w:tcPr>
            <w:tcW w:w="98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(3,329)</w:t>
            </w:r>
          </w:p>
        </w:tc>
      </w:tr>
      <w:tr>
        <w:trPr>
          <w:trHeight w:val="25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tax position increases (decreases)</w:t>
            </w:r>
          </w:p>
        </w:tc>
        <w:tc>
          <w:tcPr>
            <w:tcW w:w="9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57"/>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benefit - end of period</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Pr>
          <w:p>
            <w:pPr>
              <w:spacing w:after="0"/>
              <w:rPr>
                <w:sz w:val="22"/>
                <w:szCs w:val="22"/>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1"/>
        </w:trPr>
        <w:tc>
          <w:tcPr>
            <w:tcW w:w="7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conclusions regarding uncertain tax positions may be subject to review and adjustment at a later date based upon ongoing analysis of or changes in tax laws, regulations and interpretations thereof as well as other factors.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March 31, 2026 or 2025. We do not anticipate any significant changes in our uncertain tax positions within twelve months of this reporting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Sublicense and Collaborative Agreements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contract assets and liabilities during the year ended March 31, 2026 (in thousands). Contract acquisition costs are included as a component of other assets on our consolidated balance sheets.</w:t>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40" w:type="dxa"/>
            <w:vAlign w:val="bottom"/>
          </w:tcPr>
          <w:p>
            <w:pPr>
              <w:spacing w:after="0"/>
              <w:rPr>
                <w:sz w:val="18"/>
                <w:szCs w:val="18"/>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0" w:type="dxa"/>
            <w:vAlign w:val="bottom"/>
          </w:tcPr>
          <w:p>
            <w:pPr>
              <w:spacing w:after="0"/>
              <w:rPr>
                <w:sz w:val="18"/>
                <w:szCs w:val="18"/>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80" w:type="dxa"/>
            <w:vAlign w:val="bottom"/>
          </w:tcPr>
          <w:p>
            <w:pPr>
              <w:spacing w:after="0"/>
              <w:rPr>
                <w:sz w:val="18"/>
                <w:szCs w:val="18"/>
                <w:color w:val="auto"/>
              </w:rPr>
            </w:pP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AffaMed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2020, we entered into a license and collaboration agreement (the AffaMed Agreement) with EverInsight Therapeutics Inc., a company incorporated under the laws of the British Virgin Islands, now AffaMed Therapeutics, Inc. (AffaMed), pursuant to which we granted AffaMed an exclusive license to develop and commercialize fasedienol for social anxiety disorder (SAD) and potentially other anxiety-related disorders in Greater China, South Korea and Southeast Asia (which includes Indonesia, Malaysia, Philippines, Thailand and Vietnam) (collectively, the Territory). AffaMed is responsible for all costs related to developing, obtaining regulatory approval of, and commercializing fasedienol for treatment of SAD, and potentially other anxiety-related indications, in the Territory. A joint development committee has been established between AffaMed and us to coordinate and review the development and commercialization plans with respect to fasedienol in the Territory.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pursuing clinical development and regulatory submissions of fasedienol for acute treatment of anxiety in adults with SAD, and potentially other anxiety-related indications, in the United States on a "best efforts" basis, with no guarantee of success. AffaMed may participate in the Phase 3 global clinical trial of fasedienol and will assume all direct costs and expenses of conducting such clinical trial in the Territory and a portion of the indirect costs of a global trial in which they participate. We will transfer all development data (nonclinical and clinical data) and our regulatory documentation related to fasedienol throughout the term as it is developed or generated or otherwise comes into our control. We will grant to AffaMed a Right of Reference to our regulatory documentation and our development data, but retain exclusive development and commercialization rights for fasedienol in the U.S. and throughout the rest of the world outside the Territory.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AffaMed Agreement, AffaMed paid us a non-refundable upfront license payment of $5.0 million in August 2020. Additionally, upon successful development and commercialization of fasedienol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Royalty payments will be reduced in jurisdictions where there is no market exclusivity during the royalty period, and may be further reduced if there is generic competitive product present.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that we have one combined performance obligation for the license to develop and commercialize fasedienol in the Territory and related development and regulatory services. In addition, AffaMed has an option that, if exercised by AffaMed, could create manufacturing obligations for us during development upon exercise. This option for manufacturing services was evaluated and determined not to include a material right.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as the combined performance obligation is satisfied over time using an input method. Judgment is required to determine the level of effort attributable to the performance obligation included in the AffaMed Agreement and the period over which we expect to complete our performance obligation. The performance period or measure of progress was estimated at the inception of the AffaMed Agreement and is re-evaluated in subsequent reporting periods. This re-evaluation may shorten or lengthen the period over which we recognize revenue.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and 2025, we had short-term deferred revenue of $0.4 million and $1.3 million, respectively, related to the AffaMed Agreement. We had no long-term deferred revenue related to the AffaMed Agreement as of March 31, 2026 as compared to $0.4 million as of March 31, 2025. During the years ended March 31, 2026 and 2025, we recognized revenue of $1.3 million and $0.5 million, respectively, related to the performance obligation under the AffaMed Agreement, all of which was included in the deferred revenue balance at the beginning of each respective period. The remaining deferred revenue under the AffaMed Agreement will be recognized over the expected performance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 Related to the Affamed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we made cash payments to Pherin aggregating $0.4 million for sublicense fees and consulting services exclusively related to the AffaMed Agreement. Additionally, in 2020 we issued 7,788 unregistered shares of our common stock, valued at $0.1 million, as partial compensation for consulting services exclusively related to the AffaMed Agreement. These sublicense fees and consulting payments and the fair value of the common stock issued, aggregating $0.5 million, were capitalized as other assets in our Consolidated Balance Sheets. Amortization expense related to the contract acquisition costs was immaterial for the years ended March 31, 2026 and 2025.</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AffaMed Agreement will expire on a jurisdiction-by-jurisdiction basis upon the latest to occur of expiration of the last valid claim under a licensed patent of fasedienol in such jurisdiction, the expiration of regulatory exclusivity in such jurisdiction or ten years after the first commercial sale of fasedienol in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Fuji Pharma Agreement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 2023, we entered into an Exclusive Negotiation Agreement (the Negotiation Agreement) with Fuji Pharma Co., Ltd. (Fuji Pharma), a Tokyo Stock Exchange-listed, Japan-based pharmaceutical company with a significant research, development, and commercial focus on pharmacological therapies for women’s health conditions. Pursuant to the terms and conditions of the Negotiation Agreement, we agreed, for a limited period of time, to negotiate exclusively with Fuji Pharma for a potential exclusive license agreement to develop and commercialize PH80 (now known as refisolone) in Japan. PH80, our clinical-stage pherine product candidate focused primarily on the treatment of vasomotor symptoms (hot flashes) associated with menopause (the Potential Definitive Agreement). The Negotiation Agreement provides for an exclusive negotiation period beginning on the date of formal written notice being received by Fuji Pharma that we have selected a contract development and manufacturing organization to conduct preclinical toxicology studies for PH80 (the Payment Event), and terminating on the later to occur of (i) fourteen (14) months from the date of the Payment Event or</w:t>
      </w:r>
    </w:p>
    <w:p>
      <w:pPr>
        <w:spacing w:after="0" w:line="1" w:lineRule="exact"/>
        <w:rPr>
          <w:sz w:val="20"/>
          <w:szCs w:val="20"/>
          <w:color w:val="auto"/>
        </w:rPr>
      </w:pPr>
    </w:p>
    <w:p>
      <w:pPr>
        <w:ind w:left="280" w:hanging="272"/>
        <w:spacing w:after="0"/>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from the date that the U.S. Food and Drug Administration accepts our PH80 U.S. Investigational New</w:t>
      </w:r>
    </w:p>
    <w:p>
      <w:pPr>
        <w:spacing w:after="0" w:line="200" w:lineRule="exact"/>
        <w:rPr>
          <w:rFonts w:ascii="Times New Roman" w:cs="Times New Roman" w:eastAsia="Times New Roman" w:hAnsi="Times New Roman"/>
          <w:sz w:val="18"/>
          <w:szCs w:val="18"/>
          <w:color w:val="auto"/>
        </w:rPr>
      </w:pPr>
    </w:p>
    <w:p>
      <w:pPr>
        <w:spacing w:after="0" w:line="398"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Drug (IND) application for clinical development of PH80 in the U.S. for the treatment of vasomotor symptoms (hot flashes) due to menopause (the Exclusive Negotiation Period).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consideration for the Exclusive Negotiation Period, Fuji Pharma agreed to make a payment to us of $1.5 million (the Purchase Price), payable upon occurrence of the Payment Event. The Payment Event occurred in October 2023, and we received payment of the Purchase Price in full in November 2023. The Purchase Price is non-refundable, except upon a material breach of the Negotiation Agreement by the Company; however, should the Company and Fuji Pharma enter into the Potential Definitive Agreement, the Purchase Price will be creditable against any upfront fee due in connection with the execution of such Potential Definitive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 entire amount remaining unrecognized under the Negotiation Agreement of $1.3 million was classified as deferred revenue, current portion, on the consolidated balance sheets. During the years ended March 31, 2026 and 2025, we recognized no revenue under the Negotiation Agreement. The remaining deferred revenue under the Negotiation Agreement will be recognized upon expiration of the Exclusive Negotiation Period, which is currently expected in June 2026, or accounted for as a creditable prepayment under ASC 606, should an exclusive license agreement be reached with Fuji Pharma prior to the date of expiration.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in connection with his retirement, we entered into a consulting agreement, as subsequently amended, with our former Chief Financial Officer, Jerrold D. Dotson, to assist in transition matters related to the employment of our new Chief Financial Officer. The agreement currently expires December 31, 2026. We incurred expenses under the agreement of $120,000 and $120,000, during the years ended March 31,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Contingencies, Guarantees and Indemnifications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be party to litigation, arbitration or other legal proceedings in the course of our business, such as (i) the civil action filed against the Company and its Board of Directors, certain of its executive officers, professional services and financial advisors, and industry analysts in the United States District Court for the Northern District of California (Case No. 4:25-cv-01510) on February 13, 2025, by two purported stockholders seeking compensatory and punitive damages, as well as fees and costs, (ii) the stockholder derivative action filed by the same purported stockholders in the District of Nevada (Case No. 2:26-cv-01128) on April 10, 2026, (iii) the punitive class action filed in the Northern District of California (Case No. 3:26-cv-00427) on January 15, 2026, and (iv) the stockholder derivative actions filed in the Northern District of California (Case Nos. 4:26-cv-02656 and 3:26-cv-04480) on March 26, 2026 and May 13, 2026, respectively. The Company believes all allegations in these legal proceedings are wholly without merit, and intends to vigorously defend itself.</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one operating segment, which includes all activities related to the discovery and development of our clinical and preclinical product candidates, for the purposes of assessing performance, making operating decisions, and allocating our resources. Our chief operating decision maker (CODM) is our President and Chief Executive Officer.</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regularly reviews total operating expenses, disaggregated into research and development expense and general and administrative expense, against budget and prior periods. The CODM also monitors cash, cash equivalents, and marketable securities and internal cash forecasts to assess the sufficiency of cash resources to support our research and development activities. The categories of significant expenses regularly provided to the CODM are reflected in our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our consolidated balance sheets as total consolidated assets, and segment loss is reflected as net loss in our consolidated statements of operations and comprehensive loss.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evaluated subsequent events through June 15, 2026, the date these consolidated financial statements were issued.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Under the Open Market Sale Agreement</w:t>
      </w: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April 1, 2026 through June 12, 2026, we sold an aggregate of 1,412,136 shares of common stock under the Sales Agreement at a weighted average price of $0.6052 per share and received net cash proceeds of approximately $833,000.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(our CEO) and principal financial officer (our CFO), evaluated the effectiveness of our disclosure controls and procedures (as defined in Exchange Act Rules 13a-15(e) and 15d-15(e)) as of March 31, 2026. Based upon that evaluation, our CEO and CFO concluded that, as of such date, our disclosure controls and procedures were effective to ensure that information required to be disclosed in reports filed by us under the Securities Exchange Act of 1934 is recorded, processed, summarized and reported within the required time periods and is accumulated and communicated to our management, including our CEO and CFO,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the U.S. Securities Exchange Act of 1934, Rules 13a-15(f). Management assessed the effectiveness of our internal control over financial reporting as of March 31, 2026 based on criteria set forth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issued by the Committee of Sponsoring Organizations of the Treadway Commission (COSO) (the COSO Framework). Based on an assessment of those criteria, management concluded that, as of March 31, 2026, our internal control over financial reporting was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independent public accounting firm regarding internal control over financial reporting pursuant to SEC rules for smaller reporting companies that permit us to provide only management’s report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officers or directors, as defined in Rule 16a-1(f), adopted and/or terminated a “Rule 10b5-1 trading arrangement” or a “non-Rule 10b5-1 trading arrangement,” as defined in Regulation S-K Item 408, during the last fiscal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7"/>
        </w:trPr>
        <w:tc>
          <w:tcPr>
            <w:tcW w:w="33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Shawn K. Singh, J.D.</w:t>
            </w:r>
          </w:p>
        </w:tc>
        <w:tc>
          <w:tcPr>
            <w:tcW w:w="2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Nick B. Tressler, MBA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2"/>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36"/>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Reid G. Adler, J.D.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Angel S. Angelov, M.D, MBA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2"/>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37"/>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Elissa S. Cote</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Corporate Development Officer</w:t>
            </w: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Joshua S. Prince, MBA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36"/>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 S. Saxe, J.D., LL.M.</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2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 and Independent Director</w:t>
            </w: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 M. Cunningham, MBA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37"/>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Joanne Curley, Ph.D.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Margaret M. FitzPatrick, M.A.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biographical information regarding our executive officers and directors.</w:t>
      </w:r>
    </w:p>
    <w:p>
      <w:pPr>
        <w:spacing w:after="0" w:line="2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Shawn K. Singh, J.D. </w:t>
      </w:r>
      <w:r>
        <w:rPr>
          <w:rFonts w:ascii="Times New Roman" w:cs="Times New Roman" w:eastAsia="Times New Roman" w:hAnsi="Times New Roman"/>
          <w:sz w:val="18"/>
          <w:szCs w:val="18"/>
          <w:color w:val="auto"/>
        </w:rPr>
        <w:t>has served as our Chief Executive Officer and as a member of our Board of Directors (the Board) since August 2009,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since December 2024. Mr. Singh has over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(now Allucent), a CRO previously affiliated with Cato BioVentures. Mr. Singh served as President (part-time) of Echo Therapeutics, a medical device company, from 2007 to 2009, and as a member of its board of directors from 2007 to 2011. He also served as Chief Executive Officer (part-time) of Hemodynamic Therapeutics, a private biopharmaceutical company previously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from 1993 to 2000, and as a corporate finance associate of Morrison &amp; Foerster LLP, an international law firm, from 1991 to 1993. Mr. Singh earned a B.A., with honors, from the University of California, Berkeley, and a J.D. from the University of Maryland School of Law. Mr. Singh is a member of the State Bar of California.</w:t>
      </w:r>
    </w:p>
    <w:p>
      <w:pPr>
        <w:spacing w:after="0" w:line="2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selected Mr. Singh to serve on our Board due to his substantial practical experience and expertise in multiple senior leadership roles with private and public biotechnology, pharmaceutical and medical device companies, and his extensive experience in corporate finance and capital markets, venture capital, corporate governance, drug development, intellectual property, regulatory affairs and strategic collaborations.</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Nick B. Tressler, MBA </w:t>
      </w:r>
      <w:r>
        <w:rPr>
          <w:rFonts w:ascii="Times New Roman" w:cs="Times New Roman" w:eastAsia="Times New Roman" w:hAnsi="Times New Roman"/>
          <w:sz w:val="18"/>
          <w:szCs w:val="18"/>
          <w:color w:val="auto"/>
        </w:rPr>
        <w:t>has served as our Chief Financial Officer and Treasurer since December 2025. Mr. Tressler has over 20 years of financial leadership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life sciences industry guiding companies through pivotal growth and transformation. Most recently, he served as Chief Financial Officer of DYNEX Technologies, a laboratory diagnostic equipment company, from 2024 to 2025. He was Chief Financial Officer at American Gene Technologies International, a biotech company, from 2023 to 2024, and Chief Financial Officer at Senseonics Holdings, Inc. (Nasdaq: SENS), a medical technology company, from 2019 to 2022. Mr. Tressler held senior financial roles with several biopharmaceutical companies from 2004 to 2022, including Sucampo Pharmaceuticals (Nasdaq: SCMP), acquired by Mallinckrodt in 2018, and MedImmune LLC (Nasdaq: MEDI), acquired by AstraZeneca PLC (Nasdaq: AZN) in 2007. Mr. Tressler holds an M.B.A. from Johns Hopkins University Carey Business School and a B.S. in Finance from the University of Maryland, College Park, Robert H. Smith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27" w:name="page128"/>
    <w:bookmarkEnd w:id="127"/>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Reid G. Adler, J.D. </w:t>
      </w:r>
      <w:r>
        <w:rPr>
          <w:rFonts w:ascii="Times New Roman" w:cs="Times New Roman" w:eastAsia="Times New Roman" w:hAnsi="Times New Roman"/>
          <w:sz w:val="18"/>
          <w:szCs w:val="18"/>
          <w:color w:val="auto"/>
        </w:rPr>
        <w:t>has served as our Chief Legal Officer since May 2022. Prior to joining the Company, Mr. Adler was in private law practice from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2022, during which time he founded Capital Technology Law Group in 2019 and served as co-managing partner. While in private practice, Mr. Adler represented the Company with respect to certain technology transactions and intellectual property matters. In addition to his duties with Capital Technology Law Group, Mr. Adler founded Innovation Matters in 2009, a provider of strategic business courses and training resources for innovative management practices and served as Principal of Innovation Matters from 2009 to 2022. Mr. Adler’s career also includes experience as a partner of two international law firms, Morrison &amp; Foerster and Morgan Lewis, as well as general counsel to the pioneering J. Craig Venter Institute for Genomics. In addition, Mr. Adler was the founding director of the National Institutes of Health, Office of Technology Transfer, where he recruited a team of over 40 people involved in the translation of research projects into health care products. Mr. Adler holds a B.S. in Chemistry from the University of Maryland and a J.D. from George Washington University.</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Angel S. Angelov, M.D, MBA </w:t>
      </w:r>
      <w:r>
        <w:rPr>
          <w:rFonts w:ascii="Times New Roman" w:cs="Times New Roman" w:eastAsia="Times New Roman" w:hAnsi="Times New Roman"/>
          <w:sz w:val="18"/>
          <w:szCs w:val="18"/>
          <w:color w:val="auto"/>
        </w:rPr>
        <w:t>has served as our Chief Medical Officer since May 2026. Prior to joining Vistagen, Dr. Angelov served as Chief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at Theranica, a neuromodulation therapeutics company, from October 2024 to May 2026. Prior to Theranica, Dr. Angelov served as Managing Director at ANG Holding from July 2023 to September 2024, as Vice President, Head of Medical Affairs, at Karuna Therapeutics, a clinical-stage biopharmaceutical company and wholly-owned subsidiary of Bristol Myers Squibb, from July 2021 to July 2023 and as Vice President, Clinical Leader for VMAT-2 Franchise and Head of Medical Affairs at Neurocrine Biosciences (Nasdaq: NBIX), a biopharmaceutical company in the neurological, endocrine, psychiatric and immunology spaces, from January 2019 to July 2021. He has also held clinical development and medical affairs roles at Indivior, Teva Pharmaceuticals (Nasdaq: TEVA), Novartis (NYSE: NVS), Nupathe, Inc. and Collagenex, as well as faculty positions at Thomas Jefferson University and Temple University. Dr. Angelov earned his M.D. from Sofia Medical University and completed his residency and fellowship training at Thomas Jefferson University. Dr. Angelov also earned an MBA from the Wharton School of Business. Dr. Angelov is Board Certified in Psychiatry, as a diplomate of the American Board of Psychiatry and Neurology, and holds an active Pennsylvania medical license.</w:t>
      </w:r>
    </w:p>
    <w:p>
      <w:pPr>
        <w:spacing w:after="0" w:line="2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Elissa S. Cote </w:t>
      </w:r>
      <w:r>
        <w:rPr>
          <w:rFonts w:ascii="Times New Roman" w:cs="Times New Roman" w:eastAsia="Times New Roman" w:hAnsi="Times New Roman"/>
          <w:sz w:val="18"/>
          <w:szCs w:val="18"/>
          <w:color w:val="auto"/>
        </w:rPr>
        <w:t>has served as our Chief Corporate Development Officer since June 2025. Ms. Cote brings with her seasoned leadership and broad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small to large-cap public biopharmaceutical companies, with a strong track record in strategic, transactional, and operational roles. Her therapeutic expertise spans neuropsychiatry, central nervous system disorders, immunology, infectious diseases, and more. Since 2022 and prior to joining Vistagen, Ms. Cote served as fractional Chief Business Officer and strategic advisor to several biopharmaceutical clients. From 2015 to 2022, Ms. Cote served in multiple senior-level roles at Mallinckrodt Pharmaceuticals and Sucampo Pharmaceuticals (acquired by Mallinckrodt Pharmaceuticals in 2018), including Chief Strategy and Business Development Officer, where she led business development, licensing transactions, and strategic divestitures aligned with the global enterprise strategy. Ms. Cote has also held leadership positions and roles of increasing responsibility at MedImmune Inc., the global biologics division of AstraZeneca PLC. Earlier in her career, Ms. Cote was a management consultant with Accenture plc. Ms. Cote holds a B.A. from Union College and a Corporate M&amp;A certification from Columbia Business School.</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Joshua S. Prince, MBA </w:t>
      </w:r>
      <w:r>
        <w:rPr>
          <w:rFonts w:ascii="Times New Roman" w:cs="Times New Roman" w:eastAsia="Times New Roman" w:hAnsi="Times New Roman"/>
          <w:sz w:val="17"/>
          <w:szCs w:val="17"/>
          <w:color w:val="auto"/>
        </w:rPr>
        <w:t>has served as our Chief Operating Officer since October 2023 and served as our Senior Vice President, Business Operations,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November 2021 until October 2023. Mr. Prince has over 20 years of experience in the pharmaceutical industry. Throughout his career, he has developed extensive expertise from early development through commercial launch of pharmaceuticals across a range of therapeutic areas. Prior to joining the Company, Mr. Prince held multiple positions at CSL Behring (ASX: CSL), Teva Pharmaceuticals (NYSE: TEVA), and AstraZeneca PLC (Nasdaq: AZN), including North American Lead, Commercial Insight and Analytics, Senior Director of CNS Global Insight, and Director of Forecasting &amp; Performance Analytics. Mr. Prince holds a B.S. in Mechanical Engineering from the University of Missouri-Rolla, and an MBA from The Pennsylvania State University.</w:t>
      </w:r>
    </w:p>
    <w:p>
      <w:pPr>
        <w:spacing w:after="0" w:line="1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 S. Saxe, J.D., LL.M. </w:t>
      </w:r>
      <w:r>
        <w:rPr>
          <w:rFonts w:ascii="Times New Roman" w:cs="Times New Roman" w:eastAsia="Times New Roman" w:hAnsi="Times New Roman"/>
          <w:sz w:val="18"/>
          <w:szCs w:val="18"/>
          <w:color w:val="auto"/>
        </w:rPr>
        <w:t>has served as a director on our Board since 2000, served as Chair of our Board until October 2023 and resumed his role as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 in March 2026.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the lead director of K2 Technology and Life Sciences, is Chair of the board of directors of Epalex Corporation, and serves as a director of five additional private life science companies, Aether, Inc., Achelios Therapeutics, Inc., Arbor Vita Corporation, NuvOx Pharma, LLC and Trellis Bioscience, Inc. In addition, Mr. Saxe serves as a board observer of InGeneron, Inc. and Renexxion, Inc.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 In addition, Mr. Saxe has a Certificate in Management from Fuqua School of Business, Duke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28" w:name="page129"/>
    <w:bookmarkEnd w:id="128"/>
    <w:p>
      <w:pPr>
        <w:jc w:val="both"/>
        <w:spacing w:after="0" w:line="242" w:lineRule="auto"/>
        <w:rPr>
          <w:sz w:val="20"/>
          <w:szCs w:val="20"/>
          <w:color w:val="auto"/>
        </w:rPr>
      </w:pPr>
      <w:r>
        <w:rPr>
          <w:rFonts w:ascii="Times New Roman" w:cs="Times New Roman" w:eastAsia="Times New Roman" w:hAnsi="Times New Roman"/>
          <w:sz w:val="18"/>
          <w:szCs w:val="18"/>
          <w:color w:val="auto"/>
        </w:rPr>
        <w:t>We selected Mr. Saxe to serve as a director on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 M. Cunningham, MBA </w:t>
      </w:r>
      <w:r>
        <w:rPr>
          <w:rFonts w:ascii="Times New Roman" w:cs="Times New Roman" w:eastAsia="Times New Roman" w:hAnsi="Times New Roman"/>
          <w:sz w:val="18"/>
          <w:szCs w:val="18"/>
          <w:color w:val="auto"/>
        </w:rPr>
        <w:t>has served as a member of our Board since January 2019 and served as the Company's Chief Commercial Officer from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November 2022. Currently, Ms. Cunningham is the Founder and Managing Partner of i3 Strategy Partners, a consulting firm founded in 2018 specializing in assisting companies in the pharmaceutical space. Ms. Cunningham also serves as a director for Alterity Therapeutics (Nasdaq: ATHE). Prior to founding i3 Strategy Partners, Ms. Cunningham served as Vice President, Neurodegenerative Diseases and Psychiatry for Teva Pharmaceuticals Industries, Ltd. (NYSE: TEVA) from 2015 to 2018, as Senior Marketing Director for Otsuka Pharmaceutical Companies from 2013 to 2015 and in several marketing-focused positions for Eli Lilly and Company (NYSE: LLY) from 1999 to 2013, including serving as Global Marketing Senior Director from 2009 to 2013. Ms. Cunningham holds a B.A. in Psychology from Yale University and an MBA, with a focus on marketing management, from the University of Michigan.</w:t>
      </w:r>
    </w:p>
    <w:p>
      <w:pPr>
        <w:spacing w:after="0" w:line="21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selected Ms. Cunningham to serve on our Board due to her substantial experience in healthcare commercialization and marketing, particularly in the successful development, positioning and commercial launch of products to treat neuropsychiatric disorders. Ms. Cunningham brings an insightful commercial perspective to us and to our Board that is critical as our pipeline products move from clinical development to commercialization.</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Joanne Curley, Ph.D. </w:t>
      </w:r>
      <w:r>
        <w:rPr>
          <w:rFonts w:ascii="Times New Roman" w:cs="Times New Roman" w:eastAsia="Times New Roman" w:hAnsi="Times New Roman"/>
          <w:sz w:val="18"/>
          <w:szCs w:val="18"/>
          <w:color w:val="auto"/>
        </w:rPr>
        <w:t>has served as a member of our Board of Directors since April 2021. Dr. Curley brings more than 25 years of experience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commercialization of pharmaceutical products, including research and development governance. From March 2020 until her retirement in October 2023, Dr. Curley served as the Chief Development Officer at Vera Therapeutics, Inc. (Nasdaq: VERA). Prior to joining Vera Therapeutics, from June 2005 to March 2020, Dr. Curley held various director-level positions with Gilead Sciences, Inc. (Nasdaq: GILD), during which time the anti-viral portfolio grew from four to seventeen commercial products. While at Gilead, Dr. Curley led Project and Portfolio Management with oversight of the development pipeline across four therapeutic areas and was responsible for research and development governance. Before Gilead, Dr. Curley worked as an aerosol formulation scientist and subsequently as a project leader at Nektar Therapeutics (Nasdaq: NKTR). Dr. Curley received a B.Sc in Physics and Chemistry from Trinity College, Ireland, a Ph.D. in Polymer Science and Engineering from the University of Massachusetts, Amherst and completed a post-doctorate at Massachusetts Institute of Technology and Harvard Medical School, focused on long-acting biodegradable formulations.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selected Dr. Curley to serve on our Board due to her extensive experience in early product development, regulatory approval and commercialization of pharmaceutical products, giving her a unique perspective of the life cycle of drug development.</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Margaret M. FitzPatrick </w:t>
      </w:r>
      <w:r>
        <w:rPr>
          <w:rFonts w:ascii="Times New Roman" w:cs="Times New Roman" w:eastAsia="Times New Roman" w:hAnsi="Times New Roman"/>
          <w:sz w:val="18"/>
          <w:szCs w:val="18"/>
          <w:color w:val="auto"/>
        </w:rPr>
        <w:t>has served on our Board of Directors since July 2021, and served as Board Chair from October 2023 to March 2026.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FitzPatrick is the Founder of FitzPatrick &amp; Co., LLC, a business advisory firm founded in July 2020. Prior to the founding of FitzPatrick &amp; Co. LLC, Ms. FitzPatrick served as Senior Vice President, Corporate Affairs, Philanthropy and Customer Engagement at Exelon Corporation (Nasdaq: EXC), a diversified clean energy company, from 2016 to 2020, as Global Chief Communications Officer at Johnson &amp; Johnson (NYSE: JNJ), one of the largest and most broadly-based healthcare companies, from 2013 to 2016, as Global Chief Communication Officer and President of the Foundation at CIGNA from 2010 to 2013. Ms. FitzPatrick also served as Executive Vice President at APCO Worldwide, a global public affairs and strategic communications consultancy, where she counseled executives on major global reputation efforts for notable industry leaders. Ms. FitzPatrick currently serves on the board of directors of AN2 Therapeutics, Inc. (Nasdaq: ANTX), where she is lead independent director and Chair of the Compensation Committee. Ms. FitzPatrick holds a B.A. in English and Policy Studies from Syracuse University, and an M.A. in Public Policy from The George Washington University. In 2018, she completed the Harvard Business School program for corporate directors. She is a National Association of Corporate Directors (NACD) Certified Director and a faculty member of NACD's Board Advisory Services.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selected Ms. FitzPatrick to serve on our Board due to her extensive experience in corporate governance and leadership at some of the world's most successful companies. The Board believes Ms. FitzPatrick’s expertise in healthcare and her work in the global pharmaceutical market provides valuable contributions as the Company continues to advance the development of its product candidates to address unmet patient needs.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the members of the Board and our executive officers.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the Board of Directors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securities are currently listed on The Nasdaq Capital Market, which requires that a majority of our directors be “independent,” as such term is defined by Nasdaq Listing Rule 5605(a)(2). Accordingly, we evaluate director independence under the standards established by the SEC and the rules of The Nasdaq Stock Market.</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Subject to some exceptions, these standards generally provide that a director will not be independent if (a) the director is, or in the past three years has been, an employee of ours; (b) a member of the director’s immediate family is, or in the past three fiscal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a controlling shareholder or an executive officer of any organization to which the Company made, or from which the Company received, payments for property or services in the current or any of the past three fiscal years that exceeds 5% of the recipient's gross revenues for that year, or $200,000, whichever is greater;</w:t>
      </w:r>
    </w:p>
    <w:p>
      <w:pPr>
        <w:jc w:val="both"/>
        <w:ind w:firstLine="8"/>
        <w:spacing w:after="0" w:line="239" w:lineRule="auto"/>
        <w:tabs>
          <w:tab w:leader="none" w:pos="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or in the past three years has been, employed in a professional capacity by our independent public accountants, or has worked for such firm in any capacity on our audit.</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Board has undertaken a review of its composition, the composition of its committees and the independence of each director. Based upon information requested from and provided by each director concerning her or his background, employment and affiliations, including family relationships, our Board has determined that, as of the date of this Annual Report, each of Mr. Saxe, Ms. Cunningham, Dr. Curley and Ms. FitzPatrick is “independent” as that term is defined by Nasdaq Listing Rule 5605(a)(2).</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making these determinations, our Board considered the current and prior relationships that each non-employee director has with the Company and all other facts and circumstances that our Board deemed relevant.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Board currently separates the roles of Chief Executive Officer and Chair of the Board. Our Chief Executive Officer, who is also a member of our Board, is responsible for setting the strategic direction of the Company and the day-to-day leadership and operation of the Company. The Chair of our Board provides guidance to the Chief Executive Officer, assists with setting the agenda for the Board meetings and presides at Board meetings. Although these roles are currently separate, the Board believes it should be able to freely select the Chair of the Board based on criteria that it deems to be in the best interest of the Company and its stockholders, and therefore one person may, in the future, serve as both the Chief Executive Officer and Chair of the Board.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Board of Directors in Risk Oversight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outside legal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the Board of Directors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Board met eleven times and acted by unanimous written consent six times during our fiscal year ended March 31, 2026. In addition, during the year ended March 31, 2026: (i) our Audit Committee met four times and acted by unanimous written consent once; (ii) our Compensation Committee met five times and acted by unanimous written consent once; and (iii) our Corporate Governance and Nominating Committee met eight times. During Fiscal 2026, each of our directors attended at least 75% of the total number of meetings of our Board and the total number of all meetings of committees on which such director served, in each case during the periods in which they served.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30" w:name="page131"/>
    <w:bookmarkEnd w:id="130"/>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under applicable Nasdaq listing standards, during Fiscal 2026, the independent directors of our Board met at least twice in regularly scheduled executive sessions at which only independent directors were present. The Chair of the Board presided over the executive sessions.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Corporate Governance and Nominating Committee. Directors currently serving on each committee of the Board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Governance</w:t>
            </w:r>
          </w:p>
        </w:tc>
      </w:tr>
      <w:tr>
        <w:trPr>
          <w:trHeight w:val="189"/>
        </w:trPr>
        <w:tc>
          <w:tcPr>
            <w:tcW w:w="4020" w:type="dxa"/>
            <w:vAlign w:val="bottom"/>
          </w:tcPr>
          <w:p>
            <w:pPr>
              <w:spacing w:after="0"/>
              <w:rPr>
                <w:sz w:val="16"/>
                <w:szCs w:val="16"/>
                <w:color w:val="auto"/>
              </w:rPr>
            </w:pPr>
          </w:p>
        </w:tc>
        <w:tc>
          <w:tcPr>
            <w:tcW w:w="208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Committee</w:t>
            </w:r>
          </w:p>
        </w:tc>
        <w:tc>
          <w:tcPr>
            <w:tcW w:w="248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Committee</w:t>
            </w:r>
          </w:p>
        </w:tc>
        <w:tc>
          <w:tcPr>
            <w:tcW w:w="2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and Nominating</w:t>
            </w:r>
          </w:p>
        </w:tc>
      </w:tr>
      <w:tr>
        <w:trPr>
          <w:trHeight w:val="238"/>
        </w:trPr>
        <w:tc>
          <w:tcPr>
            <w:tcW w:w="40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r>
      <w:tr>
        <w:trPr>
          <w:trHeight w:val="41"/>
        </w:trPr>
        <w:tc>
          <w:tcPr>
            <w:tcW w:w="402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r>
      <w:tr>
        <w:trPr>
          <w:trHeight w:val="23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 S. Saxe, J.D., LL.M.</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w:t>
            </w:r>
          </w:p>
        </w:tc>
        <w:tc>
          <w:tcPr>
            <w:tcW w:w="3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34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 Cunningham, MBA</w:t>
            </w: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i w:val="1"/>
                <w:iCs w:val="1"/>
                <w:color w:val="auto"/>
                <w:w w:val="99"/>
              </w:rPr>
              <w:t>Chair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w:t>
            </w:r>
          </w:p>
        </w:tc>
      </w:tr>
      <w:tr>
        <w:trPr>
          <w:trHeight w:val="20"/>
        </w:trPr>
        <w:tc>
          <w:tcPr>
            <w:tcW w:w="4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Joanne Curley, Ph.D.</w:t>
            </w:r>
          </w:p>
        </w:tc>
        <w:tc>
          <w:tcPr>
            <w:tcW w:w="2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Margaret M. FitzPatrick, M.A.</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440" w:type="dxa"/>
            <w:vAlign w:val="bottom"/>
          </w:tcPr>
          <w:p>
            <w:pPr>
              <w:spacing w:after="0"/>
              <w:rPr>
                <w:sz w:val="20"/>
                <w:szCs w:val="20"/>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Appointed Board members serve on these committees until their resignation or until otherwise determined by our Board.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the Audit Committee, Compensation Committee, and Corporate Governance and Nominating Committee of the Board.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our fiscal year ended March 31, 2026, the Audit Committee of our Board consisted of Mr. Saxe, who serves as the Audit Committee Chair, Dr. Curley and former directors Dr. Jerry Gin, Paul R. Edick and Mary L. Rotunno. Dr. Gin retired from our Board and all related positions held on September 9, 2025, and Mr. Edick and Ms. Rotunno resigned from our Board on February 13, 2026 and April 1, 2026, respectively. Following Mr. Edick and Ms. Rotunno’s resignations, on April 16, 2026, our Board determined that Ms. Cunningham now qualifies as an independent director and appointed Ms. Cunningham to serve as a member of the Audit Committee.</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Mr. Saxe is our Audit Committee financial expert and has certified that he possesses the requisite financial sophistication, as defined under applicable rules. The Audit Committee operates under a written charter. Our Audit Committee charter is available on our website at www.vistagen.com. Our Audit Committee is primarily responsible for, among other things, the following:</w:t>
      </w:r>
    </w:p>
    <w:p>
      <w:pPr>
        <w:spacing w:after="0" w:line="265" w:lineRule="exact"/>
        <w:rPr>
          <w:sz w:val="20"/>
          <w:szCs w:val="20"/>
          <w:color w:val="auto"/>
        </w:rPr>
      </w:pPr>
    </w:p>
    <w:p>
      <w:pPr>
        <w:ind w:left="1260" w:hanging="424"/>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w:t>
      </w:r>
    </w:p>
    <w:p>
      <w:pPr>
        <w:spacing w:after="0" w:line="171"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certain areas of risk for the Company, including our cybersecurity;</w:t>
      </w:r>
    </w:p>
    <w:p>
      <w:pPr>
        <w:spacing w:after="0" w:line="171"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and replacing our independent auditors and evaluating their qualifications, independence and performance;</w:t>
      </w:r>
    </w:p>
    <w:p>
      <w:pPr>
        <w:spacing w:after="0" w:line="157"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scope of the annual audit and audit fees;</w:t>
      </w:r>
    </w:p>
    <w:p>
      <w:pPr>
        <w:spacing w:after="0" w:line="171"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rotation of partners of independent auditors on engagement team as required by law;</w:t>
      </w:r>
    </w:p>
    <w:p>
      <w:pPr>
        <w:spacing w:after="0" w:line="171"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independent auditors the results of annual audit and review of quarterly financial statements;</w:t>
      </w:r>
    </w:p>
    <w:p>
      <w:pPr>
        <w:spacing w:after="0" w:line="157"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adequacy and effectiveness of internal control policies and procedures;</w:t>
      </w:r>
    </w:p>
    <w:p>
      <w:pPr>
        <w:spacing w:after="0" w:line="171"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retention of independent auditors to perform any proposed permissible non-audit services;</w:t>
      </w:r>
    </w:p>
    <w:p>
      <w:pPr>
        <w:spacing w:after="0" w:line="171"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internal audit functions and annually reviewing Audit Committee charter and committee performance; and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1" w:name="page132"/>
    <w:bookmarkEnd w:id="131"/>
    <w:p>
      <w:pPr>
        <w:ind w:left="1260" w:hanging="424"/>
        <w:spacing w:after="0"/>
        <w:tabs>
          <w:tab w:leader="none" w:pos="1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Audit Committee has reviewed and discussed with management and KPMG LLP, our independent registered public accounting firm for our fiscal year ended March 31, 2026, the audited consolidated financial statements in the Company’s Annual Report on Form 10-K for the year ended March 31, 2026. The Audit Committee also discussed with KPMG LLP those matters required to be discussed by Public Company Accounting Oversight Board (PCAOB) and the SEC.</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KPMG LLP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2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that the audited financial statements be included in our Annual Report on Form 10-K for the fiscal year ended March 31, 2026.</w:t>
      </w:r>
    </w:p>
    <w:p>
      <w:pPr>
        <w:spacing w:after="0" w:line="27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Respectfully Submitted by:</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3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Jon S. Saxe, Audit Committee Chair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Ann M. Cunningham</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Joanne Curley</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June 10, 2026</w:t>
      </w:r>
    </w:p>
    <w:p>
      <w:pPr>
        <w:spacing w:after="0" w:line="358"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8"/>
          <w:szCs w:val="18"/>
          <w:color w:val="auto"/>
        </w:rPr>
        <w:t>The information contained above under the caption “</w:t>
      </w:r>
      <w:r>
        <w:rPr>
          <w:rFonts w:ascii="Times New Roman" w:cs="Times New Roman" w:eastAsia="Times New Roman" w:hAnsi="Times New Roman"/>
          <w:sz w:val="18"/>
          <w:szCs w:val="18"/>
          <w:i w:val="1"/>
          <w:iCs w:val="1"/>
          <w:color w:val="auto"/>
        </w:rPr>
        <w:t>Report of the Audit Committee of the Board of Directors</w:t>
      </w:r>
      <w:r>
        <w:rPr>
          <w:rFonts w:ascii="Times New Roman" w:cs="Times New Roman" w:eastAsia="Times New Roman" w:hAnsi="Times New Roman"/>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our fiscal year ended March 31, 2026, the Compensation Committee of our Board was composed of Ms. FitzPatrick, who served as interim Compensation Committee Chair, Mr. Saxe and former director Dr. Jerry Gin. Dr. Gin retired from our Board and all related positions held on September 9, 2025. On April 16, 2026, following the Board’s determination that Ms. Cunningham now qualifies as an independent director, Ms. Cunningham was appointed as Chair of the Compensation Committee.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charter is available on our website at www.vistagen.com. Our Compensation Committee is primarily responsible for, among other things, the following:</w:t>
      </w:r>
    </w:p>
    <w:p>
      <w:pPr>
        <w:spacing w:after="0" w:line="243" w:lineRule="exact"/>
        <w:rPr>
          <w:sz w:val="20"/>
          <w:szCs w:val="20"/>
          <w:color w:val="auto"/>
        </w:rPr>
      </w:pPr>
    </w:p>
    <w:p>
      <w:pPr>
        <w:jc w:val="both"/>
        <w:ind w:left="1260" w:right="500" w:hanging="411"/>
        <w:spacing w:after="0" w:line="245" w:lineRule="auto"/>
        <w:tabs>
          <w:tab w:leader="none" w:pos="1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reviewing and approving our compensation programs and arrangements applicable to our executive officers (as defined in Rule 16a-I (f)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26" w:lineRule="exact"/>
        <w:rPr>
          <w:rFonts w:ascii="Times New Roman" w:cs="Times New Roman" w:eastAsia="Times New Roman" w:hAnsi="Times New Roman"/>
          <w:sz w:val="18"/>
          <w:szCs w:val="18"/>
          <w:color w:val="auto"/>
        </w:rPr>
      </w:pPr>
    </w:p>
    <w:p>
      <w:pPr>
        <w:ind w:left="1260" w:hanging="411"/>
        <w:spacing w:after="0"/>
        <w:tabs>
          <w:tab w:leader="none" w:pos="1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philosophy and objectives of our executive officer compensation programs;</w:t>
      </w:r>
    </w:p>
    <w:p>
      <w:pPr>
        <w:spacing w:after="0" w:line="171" w:lineRule="exact"/>
        <w:rPr>
          <w:rFonts w:ascii="Times New Roman" w:cs="Times New Roman" w:eastAsia="Times New Roman" w:hAnsi="Times New Roman"/>
          <w:sz w:val="18"/>
          <w:szCs w:val="18"/>
          <w:color w:val="auto"/>
        </w:rPr>
      </w:pPr>
    </w:p>
    <w:p>
      <w:pPr>
        <w:ind w:left="1260" w:right="500" w:hanging="411"/>
        <w:spacing w:after="0" w:line="266" w:lineRule="auto"/>
        <w:tabs>
          <w:tab w:leader="none" w:pos="1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corporate performance measures and goals regarding executive officer compensation are set and determining the extent to which they are achieved, and any related compensation earned;</w:t>
      </w:r>
    </w:p>
    <w:p>
      <w:pPr>
        <w:spacing w:after="0" w:line="121" w:lineRule="exact"/>
        <w:rPr>
          <w:rFonts w:ascii="Times New Roman" w:cs="Times New Roman" w:eastAsia="Times New Roman" w:hAnsi="Times New Roman"/>
          <w:sz w:val="18"/>
          <w:szCs w:val="18"/>
          <w:color w:val="auto"/>
        </w:rPr>
      </w:pPr>
    </w:p>
    <w:p>
      <w:pPr>
        <w:ind w:left="1260" w:right="500" w:hanging="411"/>
        <w:spacing w:after="0" w:line="266" w:lineRule="auto"/>
        <w:tabs>
          <w:tab w:leader="none" w:pos="1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goals and objectives relevant to Chief Executive Officer compensation and determining Chief Executive Officer compensation based on the performance evaluation conducted by the Corporate Governance and Nominating Committee;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32" w:name="page133"/>
    <w:bookmarkEnd w:id="132"/>
    <w:p>
      <w:pPr>
        <w:jc w:val="both"/>
        <w:ind w:left="1260" w:right="500" w:hanging="411"/>
        <w:spacing w:after="0" w:line="245" w:lineRule="auto"/>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compensation consultant,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40" w:lineRule="exact"/>
        <w:rPr>
          <w:rFonts w:ascii="Times New Roman" w:cs="Times New Roman" w:eastAsia="Times New Roman" w:hAnsi="Times New Roman"/>
          <w:sz w:val="18"/>
          <w:szCs w:val="18"/>
          <w:color w:val="auto"/>
        </w:rPr>
      </w:pPr>
    </w:p>
    <w:p>
      <w:pPr>
        <w:ind w:left="1260" w:hanging="411"/>
        <w:spacing w:after="0"/>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new equity compensation plan or any material change to an existing plan; and</w:t>
      </w:r>
    </w:p>
    <w:p>
      <w:pPr>
        <w:spacing w:after="0" w:line="157" w:lineRule="exact"/>
        <w:rPr>
          <w:rFonts w:ascii="Times New Roman" w:cs="Times New Roman" w:eastAsia="Times New Roman" w:hAnsi="Times New Roman"/>
          <w:sz w:val="18"/>
          <w:szCs w:val="18"/>
          <w:color w:val="auto"/>
        </w:rPr>
      </w:pPr>
    </w:p>
    <w:p>
      <w:pPr>
        <w:jc w:val="both"/>
        <w:ind w:left="1260" w:right="500" w:hanging="411"/>
        <w:spacing w:after="0" w:line="250" w:lineRule="auto"/>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stock option award or any other type of award as may be required for complying with any tax, securities, or other regulatory requirement, or otherwise determined to be appropriate or desirable by the Compensation Committee or Board.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our fiscal year ended March 31, 2026, the Corporate Governance and Nominating Committee of our Board was composed of Ms. Rotunno, who served as the Corporate Governance and Nominating Committee Chair, Dr. Curley and Ms. FitzPatrick. Following Ms. Rotunno’s resignation from the Board on April 1, 2026 and the Board’s determination that Ms. Cunningham now qualifies as an independent director on April 16, 2026, the Board revised the membership on the Corporate Governance and Nominating Committee so that Ms. Cunningham now serves as Chair, and Dr. Curley and Mr. Saxe serve as members.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Governance and Nominating Committee charter is available on our website at www.vistagen.com. Our Corporate Governance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Nominating Committee is primarily responsible for, among other things, the following:</w:t>
      </w:r>
    </w:p>
    <w:p>
      <w:pPr>
        <w:spacing w:after="0" w:line="273" w:lineRule="exact"/>
        <w:rPr>
          <w:sz w:val="20"/>
          <w:szCs w:val="20"/>
          <w:color w:val="auto"/>
        </w:rPr>
      </w:pPr>
    </w:p>
    <w:p>
      <w:pPr>
        <w:ind w:left="1260" w:hanging="411"/>
        <w:spacing w:after="0"/>
        <w:tabs>
          <w:tab w:leader="none" w:pos="12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size and composition of our Board;</w:t>
      </w:r>
    </w:p>
    <w:p>
      <w:pPr>
        <w:spacing w:after="0" w:line="171" w:lineRule="exact"/>
        <w:rPr>
          <w:rFonts w:ascii="Times New Roman" w:cs="Times New Roman" w:eastAsia="Times New Roman" w:hAnsi="Times New Roman"/>
          <w:sz w:val="18"/>
          <w:szCs w:val="18"/>
          <w:color w:val="auto"/>
        </w:rPr>
      </w:pPr>
    </w:p>
    <w:p>
      <w:pPr>
        <w:ind w:left="1260" w:hanging="411"/>
        <w:spacing w:after="0"/>
        <w:tabs>
          <w:tab w:leader="none" w:pos="12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periodic assessments of our Board;</w:t>
      </w:r>
    </w:p>
    <w:p>
      <w:pPr>
        <w:spacing w:after="0" w:line="171" w:lineRule="exact"/>
        <w:rPr>
          <w:rFonts w:ascii="Times New Roman" w:cs="Times New Roman" w:eastAsia="Times New Roman" w:hAnsi="Times New Roman"/>
          <w:sz w:val="18"/>
          <w:szCs w:val="18"/>
          <w:color w:val="auto"/>
        </w:rPr>
      </w:pPr>
    </w:p>
    <w:p>
      <w:pPr>
        <w:ind w:left="1260" w:hanging="411"/>
        <w:spacing w:after="0"/>
        <w:tabs>
          <w:tab w:leader="none" w:pos="12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with respect to the nominations or elections of our directors;</w:t>
      </w:r>
    </w:p>
    <w:p>
      <w:pPr>
        <w:spacing w:after="0" w:line="157" w:lineRule="exact"/>
        <w:rPr>
          <w:rFonts w:ascii="Times New Roman" w:cs="Times New Roman" w:eastAsia="Times New Roman" w:hAnsi="Times New Roman"/>
          <w:sz w:val="18"/>
          <w:szCs w:val="18"/>
          <w:color w:val="auto"/>
        </w:rPr>
      </w:pPr>
    </w:p>
    <w:p>
      <w:pPr>
        <w:ind w:left="1260" w:right="500" w:hanging="411"/>
        <w:spacing w:after="0" w:line="266" w:lineRule="auto"/>
        <w:tabs>
          <w:tab w:leader="none" w:pos="12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annual evaluation of our Chief Executive Officer in light of corporate performance measures and goals set by the Compensation Committee;</w:t>
      </w:r>
    </w:p>
    <w:p>
      <w:pPr>
        <w:spacing w:after="0" w:line="121" w:lineRule="exact"/>
        <w:rPr>
          <w:rFonts w:ascii="Times New Roman" w:cs="Times New Roman" w:eastAsia="Times New Roman" w:hAnsi="Times New Roman"/>
          <w:sz w:val="18"/>
          <w:szCs w:val="18"/>
          <w:color w:val="auto"/>
        </w:rPr>
      </w:pPr>
    </w:p>
    <w:p>
      <w:pPr>
        <w:ind w:left="1260" w:right="540" w:hanging="411"/>
        <w:spacing w:after="0" w:line="266" w:lineRule="auto"/>
        <w:tabs>
          <w:tab w:leader="none" w:pos="12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corporate governance policies and procedures and our Code of Business Conduct, and recommending any proposed changes to our Board for approval; and</w:t>
      </w:r>
    </w:p>
    <w:p>
      <w:pPr>
        <w:spacing w:after="0" w:line="121" w:lineRule="exact"/>
        <w:rPr>
          <w:rFonts w:ascii="Times New Roman" w:cs="Times New Roman" w:eastAsia="Times New Roman" w:hAnsi="Times New Roman"/>
          <w:sz w:val="18"/>
          <w:szCs w:val="18"/>
          <w:color w:val="auto"/>
        </w:rPr>
      </w:pPr>
    </w:p>
    <w:p>
      <w:pPr>
        <w:ind w:left="1260" w:right="380" w:hanging="424"/>
        <w:spacing w:after="0" w:line="266" w:lineRule="auto"/>
        <w:tabs>
          <w:tab w:leader="none" w:pos="1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requests for waivers from our Code of Business Conduct and ensure that we disclose such waivers as may be required by the exchange on which we are listed, if any, and rules and regulations of the SEC.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wish to communicate with the Board, you may send your communication in writing to:</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343 Allerton Avenue</w:t>
      </w:r>
    </w:p>
    <w:p>
      <w:pPr>
        <w:jc w:val="center"/>
        <w:spacing w:after="0" w:line="234" w:lineRule="auto"/>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adopted a Code of Business Conduct applicable to our employees, officers and directors. Our Code of Business Conduct is available on our website at www.vistagen.com. We intend to disclose any future amendments to certain provisions of our Code of Business Conduct, or waivers of these provisions, on our website or in filings with the SEC under the Exchange 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Trading/Anti-Hedging Policies</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133" w:name="page134"/>
    <w:bookmarkEnd w:id="133"/>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All employees, officers and directors of, and consultants and contractors to us or any of our subsidiaries are subject to our Insider Trading Policy, a copy of which is filed as Exhibit 19.1 to this Annual Report. The policy prohibits the unauthorized disclosure of any non-public information acquired in the workplace, and the misuse of material non-public information in securities trading. The policy also includes specific anti-hedging provisions.</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To ensure compliance with the policy and applicable federal and state securities laws, all individuals subject to our Insider Trading Policy must refrain from the purchase or sale of our securities except in limited and designated trading windows or pursuant to certain exclusions enumerated in the Insider Trading Policy, including preapproved 10b5-1 trading plans, exercises of stock options or other equity awards, surrender of shares to the Company in payment of the exercise price of stock options or in satisfaction of certain eligible tax withholding obligations, or periodic contributions to the Company’s 2019 Employee Stock Purchase Plan, as amended. The anti-hedging provisions prohibit all employees, officers and directors from engaging in “short sales” of our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and Clawback Policy</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October 2023, our Board adopted our Policy for Recovery of Erroneously Awarded Compensation (the Clawback Policy),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Company equity securities. Officers, directors and greater than ten percent stockholders are required by SEC regulation to furnish us with copies of all Section 16(a) forms they file.</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such reports furnished to us and written representations that no other reports were required, during the year ended March 31, 2026, all Section 16(a) filing requirements applicable to our officers, directors, and greater than ten percent beneficial owners were complied with, except that, each of Mr. Tressler and former director Paul Edick, filed one late Form 4 with respect to one transaction for each due to administrative oversight.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Summary Compensation Table</w:t>
      </w:r>
    </w:p>
    <w:p>
      <w:pPr>
        <w:spacing w:after="0" w:line="2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for services rendered that was earned by our named executive officers during the years ended March 31, 2026 (Fiscal 2026) and March 31, 2025 (Fiscal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460" w:type="dxa"/>
            <w:vAlign w:val="bottom"/>
          </w:tcPr>
          <w:p>
            <w:pPr>
              <w:spacing w:after="0"/>
              <w:rPr>
                <w:sz w:val="18"/>
                <w:szCs w:val="18"/>
                <w:color w:val="auto"/>
              </w:rPr>
            </w:pP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9"/>
                <w:szCs w:val="9"/>
                <w:b w:val="1"/>
                <w:bCs w:val="1"/>
                <w:color w:val="auto"/>
              </w:rPr>
              <w:t>(1)</w:t>
            </w: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36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5"/>
        </w:trPr>
        <w:tc>
          <w:tcPr>
            <w:tcW w:w="2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Awards</w:t>
            </w:r>
            <w:r>
              <w:rPr>
                <w:rFonts w:ascii="Times New Roman" w:cs="Times New Roman" w:eastAsia="Times New Roman" w:hAnsi="Times New Roman"/>
                <w:sz w:val="9"/>
                <w:szCs w:val="9"/>
                <w:b w:val="1"/>
                <w:bCs w:val="1"/>
                <w:color w:val="auto"/>
                <w:w w:val="99"/>
              </w:rPr>
              <w:t>(2)</w:t>
            </w:r>
          </w:p>
        </w:tc>
        <w:tc>
          <w:tcPr>
            <w:tcW w:w="360" w:type="dxa"/>
            <w:vAlign w:val="bottom"/>
          </w:tcPr>
          <w:p>
            <w:pPr>
              <w:spacing w:after="0"/>
              <w:rPr>
                <w:sz w:val="23"/>
                <w:szCs w:val="23"/>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460" w:type="dxa"/>
            <w:vAlign w:val="bottom"/>
          </w:tcPr>
          <w:p>
            <w:pPr>
              <w:spacing w:after="0"/>
              <w:rPr>
                <w:sz w:val="22"/>
                <w:szCs w:val="22"/>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6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color w:val="auto"/>
                <w:w w:val="99"/>
              </w:rPr>
              <w:t>(3)</w:t>
            </w: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Shawn K. Singh, J.D.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460" w:type="dxa"/>
            <w:vAlign w:val="bottom"/>
          </w:tcPr>
          <w:p>
            <w:pPr>
              <w:spacing w:after="0"/>
              <w:rPr>
                <w:sz w:val="18"/>
                <w:szCs w:val="18"/>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650,000</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562,560</w:t>
            </w:r>
          </w:p>
        </w:tc>
        <w:tc>
          <w:tcPr>
            <w:tcW w:w="360" w:type="dxa"/>
            <w:vAlign w:val="bottom"/>
            <w:vMerge w:val="continue"/>
          </w:tcPr>
          <w:p>
            <w:pPr>
              <w:spacing w:after="0"/>
              <w:rPr>
                <w:sz w:val="18"/>
                <w:szCs w:val="18"/>
                <w:color w:val="auto"/>
              </w:rPr>
            </w:pPr>
          </w:p>
        </w:tc>
        <w:tc>
          <w:tcPr>
            <w:tcW w:w="1720" w:type="dxa"/>
            <w:vAlign w:val="bottom"/>
          </w:tcPr>
          <w:p>
            <w:pPr>
              <w:ind w:left="13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1,212,560</w:t>
            </w: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Executive Officer</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460" w:type="dxa"/>
            <w:vAlign w:val="bottom"/>
          </w:tcPr>
          <w:p>
            <w:pPr>
              <w:spacing w:after="0"/>
              <w:rPr>
                <w:sz w:val="21"/>
                <w:szCs w:val="21"/>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650,000</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276,250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1,551,432</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(4)</w:t>
            </w:r>
          </w:p>
        </w:tc>
        <w:tc>
          <w:tcPr>
            <w:tcW w:w="1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2,477,682</w:t>
            </w:r>
          </w:p>
        </w:tc>
        <w:tc>
          <w:tcPr>
            <w:tcW w:w="0" w:type="dxa"/>
            <w:vAlign w:val="bottom"/>
          </w:tcPr>
          <w:p>
            <w:pPr>
              <w:spacing w:after="0"/>
              <w:rPr>
                <w:sz w:val="1"/>
                <w:szCs w:val="1"/>
                <w:color w:val="auto"/>
              </w:rPr>
            </w:pPr>
          </w:p>
        </w:tc>
      </w:tr>
      <w:tr>
        <w:trPr>
          <w:trHeight w:val="26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and Director</w:t>
            </w: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ind w:left="134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Nick B. Tressler, MBA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4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(5)</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150,000</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641,790</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(3)</w:t>
            </w:r>
          </w:p>
        </w:tc>
        <w:tc>
          <w:tcPr>
            <w:tcW w:w="17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24,726 -6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866,516</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Chief Financial Officer and</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Treasurer</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Reid G. Adler, J.D.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460" w:type="dxa"/>
            <w:vAlign w:val="bottom"/>
          </w:tcPr>
          <w:p>
            <w:pPr>
              <w:spacing w:after="0"/>
              <w:rPr>
                <w:sz w:val="24"/>
                <w:szCs w:val="24"/>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450,000</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187,520</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(3)</w:t>
            </w:r>
          </w:p>
        </w:tc>
        <w:tc>
          <w:tcPr>
            <w:tcW w:w="1720" w:type="dxa"/>
            <w:vAlign w:val="bottom"/>
          </w:tcPr>
          <w:p>
            <w:pPr>
              <w:ind w:left="13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637,520</w:t>
            </w:r>
          </w:p>
        </w:tc>
        <w:tc>
          <w:tcPr>
            <w:tcW w:w="0" w:type="dxa"/>
            <w:vAlign w:val="bottom"/>
          </w:tcPr>
          <w:p>
            <w:pPr>
              <w:spacing w:after="0"/>
              <w:rPr>
                <w:sz w:val="1"/>
                <w:szCs w:val="1"/>
                <w:color w:val="auto"/>
              </w:rPr>
            </w:pPr>
          </w:p>
        </w:tc>
      </w:tr>
      <w:tr>
        <w:trPr>
          <w:trHeight w:val="31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460" w:type="dxa"/>
            <w:vAlign w:val="bottom"/>
          </w:tcPr>
          <w:p>
            <w:pPr>
              <w:spacing w:after="0"/>
              <w:rPr>
                <w:sz w:val="24"/>
                <w:szCs w:val="24"/>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450,000</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198,450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527,357</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(4)</w:t>
            </w:r>
          </w:p>
        </w:tc>
        <w:tc>
          <w:tcPr>
            <w:tcW w:w="1720" w:type="dxa"/>
            <w:vAlign w:val="bottom"/>
          </w:tcPr>
          <w:p>
            <w:pPr>
              <w:ind w:left="13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1,175,807</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-1773555</wp:posOffset>
            </wp:positionV>
            <wp:extent cx="713232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31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Elissa S. Cote</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(5)</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320,682</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35,000</w:t>
            </w:r>
          </w:p>
        </w:tc>
        <w:tc>
          <w:tcPr>
            <w:tcW w:w="15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xml:space="preserve">281,925 </w:t>
            </w:r>
            <w:r>
              <w:rPr>
                <w:rFonts w:ascii="Times New Roman" w:cs="Times New Roman" w:eastAsia="Times New Roman" w:hAnsi="Times New Roman"/>
                <w:sz w:val="23"/>
                <w:szCs w:val="23"/>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696,134</w:t>
            </w:r>
          </w:p>
        </w:tc>
      </w:tr>
      <w:tr>
        <w:trPr>
          <w:trHeight w:val="202"/>
        </w:trPr>
        <w:tc>
          <w:tcPr>
            <w:tcW w:w="26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i w:val="1"/>
                <w:iCs w:val="1"/>
                <w:color w:val="auto"/>
              </w:rPr>
              <w:t>Chief Corporate Development</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48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S. Prince, MBA</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24"/>
                <w:szCs w:val="24"/>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415,000</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xml:space="preserve">187,520 </w:t>
            </w:r>
            <w:r>
              <w:rPr>
                <w:rFonts w:ascii="Times New Roman" w:cs="Times New Roman" w:eastAsia="Times New Roman" w:hAnsi="Times New Roman"/>
                <w:sz w:val="23"/>
                <w:szCs w:val="23"/>
                <w:color w:val="auto"/>
                <w:vertAlign w:val="superscript"/>
              </w:rPr>
              <w:t>(3)</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602,520</w:t>
            </w:r>
          </w:p>
        </w:tc>
      </w:tr>
      <w:tr>
        <w:trPr>
          <w:trHeight w:val="31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24"/>
                <w:szCs w:val="24"/>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410,000</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183,015</w:t>
            </w:r>
          </w:p>
        </w:tc>
        <w:tc>
          <w:tcPr>
            <w:tcW w:w="15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xml:space="preserve">465,235 </w:t>
            </w:r>
            <w:r>
              <w:rPr>
                <w:rFonts w:ascii="Times New Roman" w:cs="Times New Roman" w:eastAsia="Times New Roman" w:hAnsi="Times New Roman"/>
                <w:sz w:val="23"/>
                <w:szCs w:val="23"/>
                <w:color w:val="auto"/>
                <w:vertAlign w:val="superscript"/>
              </w:rPr>
              <w:t>(4)</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1"/>
          <w:szCs w:val="11"/>
          <w:color w:val="auto"/>
        </w:rPr>
        <w:t>(1)</w:t>
      </w:r>
    </w:p>
    <w:p>
      <w:pPr>
        <w:ind w:left="420"/>
        <w:spacing w:after="0"/>
        <w:rPr>
          <w:sz w:val="20"/>
          <w:szCs w:val="20"/>
          <w:color w:val="auto"/>
        </w:rPr>
      </w:pPr>
      <w:r>
        <w:rPr>
          <w:rFonts w:ascii="Times New Roman" w:cs="Times New Roman" w:eastAsia="Times New Roman" w:hAnsi="Times New Roman"/>
          <w:sz w:val="18"/>
          <w:szCs w:val="18"/>
          <w:color w:val="auto"/>
        </w:rPr>
        <w:t>Amounts reported for Fiscal 2025 reflect annual performance bonuses awarded by the Compensation Committee that were earned in the same period.</w:t>
      </w:r>
    </w:p>
    <w:p>
      <w:pPr>
        <w:spacing w:after="0" w:line="165" w:lineRule="exact"/>
        <w:rPr>
          <w:sz w:val="20"/>
          <w:szCs w:val="20"/>
          <w:color w:val="auto"/>
        </w:rPr>
      </w:pPr>
    </w:p>
    <w:p>
      <w:pPr>
        <w:ind w:left="420" w:right="20"/>
        <w:spacing w:after="0" w:line="266" w:lineRule="auto"/>
        <w:rPr>
          <w:sz w:val="20"/>
          <w:szCs w:val="20"/>
          <w:color w:val="auto"/>
        </w:rPr>
      </w:pPr>
      <w:r>
        <w:rPr>
          <w:rFonts w:ascii="Times New Roman" w:cs="Times New Roman" w:eastAsia="Times New Roman" w:hAnsi="Times New Roman"/>
          <w:sz w:val="18"/>
          <w:szCs w:val="18"/>
          <w:color w:val="auto"/>
        </w:rPr>
        <w:t>For Fiscal 2026, amounts reported reflect signing bonuses paid to Mr. Tressler and Ms. Cote in connection with their appointment as the Company’s Chief Financial Officer and Chief Corporate Development Officer, respectively.</w:t>
      </w:r>
    </w:p>
    <w:p>
      <w:pPr>
        <w:spacing w:after="0" w:line="108" w:lineRule="exact"/>
        <w:rPr>
          <w:sz w:val="20"/>
          <w:szCs w:val="20"/>
          <w:color w:val="auto"/>
        </w:rPr>
      </w:pPr>
    </w:p>
    <w:p>
      <w:pPr>
        <w:jc w:val="both"/>
        <w:ind w:left="420" w:right="20" w:hanging="394"/>
        <w:spacing w:after="0" w:line="234" w:lineRule="auto"/>
        <w:tabs>
          <w:tab w:leader="none" w:pos="420" w:val="left"/>
        </w:tabs>
        <w:numPr>
          <w:ilvl w:val="0"/>
          <w:numId w:val="7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The amounts shown in the “Option Awards” column do not represent any cash payments actually received by any NEO during Fiscal 2026 and Fiscal 2025. Rather, the amounts shown represent the aggregate grant date fair value of options to purchase shares of our common stock awarded to the NEOs during the fiscal year presented, computed in accordance with the Financial Accounting Standards Board’s Accounting Standards Codification Topic 718, Compensation – Stock Compensation (ASC 718).</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(3)</w:t>
      </w:r>
    </w:p>
    <w:p>
      <w:pPr>
        <w:jc w:val="both"/>
        <w:ind w:left="420" w:right="20"/>
        <w:spacing w:after="0" w:line="243" w:lineRule="auto"/>
        <w:rPr>
          <w:sz w:val="20"/>
          <w:szCs w:val="20"/>
          <w:color w:val="auto"/>
        </w:rPr>
      </w:pPr>
      <w:r>
        <w:rPr>
          <w:rFonts w:ascii="Times New Roman" w:cs="Times New Roman" w:eastAsia="Times New Roman" w:hAnsi="Times New Roman"/>
          <w:sz w:val="18"/>
          <w:szCs w:val="18"/>
          <w:color w:val="auto"/>
        </w:rPr>
        <w:t>The table below provides information regarding the stock option awards granted to our NEOs in Fiscal 2026 and the assumptions used in the Black Scholes Option Pricing Model to determine the grant date fair values of the respective awards.</w:t>
      </w:r>
    </w:p>
    <w:p>
      <w:pPr>
        <w:spacing w:after="0" w:line="155" w:lineRule="exact"/>
        <w:rPr>
          <w:sz w:val="20"/>
          <w:szCs w:val="20"/>
          <w:color w:val="auto"/>
        </w:rPr>
      </w:pPr>
    </w:p>
    <w:p>
      <w:pPr>
        <w:jc w:val="both"/>
        <w:ind w:left="420" w:right="20"/>
        <w:spacing w:after="0" w:line="245" w:lineRule="auto"/>
        <w:rPr>
          <w:sz w:val="20"/>
          <w:szCs w:val="20"/>
          <w:color w:val="auto"/>
        </w:rPr>
      </w:pPr>
      <w:r>
        <w:rPr>
          <w:rFonts w:ascii="Times New Roman" w:cs="Times New Roman" w:eastAsia="Times New Roman" w:hAnsi="Times New Roman"/>
          <w:sz w:val="18"/>
          <w:szCs w:val="18"/>
          <w:color w:val="auto"/>
        </w:rPr>
        <w:t>For Messrs. Singh, Adler and Prince, information reflects stock option awards granted by the Compensation Committee as long-term equity awards intended to retain and align our NEOs with the long-term interest of our stockholders. For Mr. Tressler and Ms. Cote, information reflects stock option awards granted by the Compensation Committee as an inducement to their appointment as the Company’s Chief Financial Officer and Chief Corporate Development Officer,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Inducement</w:t>
            </w:r>
          </w:p>
        </w:tc>
        <w:tc>
          <w:tcPr>
            <w:tcW w:w="340" w:type="dxa"/>
            <w:vAlign w:val="bottom"/>
          </w:tcPr>
          <w:p>
            <w:pPr>
              <w:spacing w:after="0"/>
              <w:rPr>
                <w:sz w:val="18"/>
                <w:szCs w:val="18"/>
                <w:color w:val="auto"/>
              </w:rPr>
            </w:pPr>
          </w:p>
        </w:tc>
        <w:tc>
          <w:tcPr>
            <w:tcW w:w="3720" w:type="dxa"/>
            <w:vAlign w:val="bottom"/>
            <w:gridSpan w:val="2"/>
          </w:tcPr>
          <w:p>
            <w:pPr>
              <w:jc w:val="right"/>
              <w:ind w:right="2520"/>
              <w:spacing w:after="0"/>
              <w:rPr>
                <w:sz w:val="20"/>
                <w:szCs w:val="20"/>
                <w:color w:val="auto"/>
              </w:rPr>
            </w:pPr>
            <w:r>
              <w:rPr>
                <w:rFonts w:ascii="Times New Roman" w:cs="Times New Roman" w:eastAsia="Times New Roman" w:hAnsi="Times New Roman"/>
                <w:sz w:val="16"/>
                <w:szCs w:val="16"/>
                <w:b w:val="1"/>
                <w:bCs w:val="1"/>
                <w:color w:val="auto"/>
              </w:rPr>
              <w:t>Inducement</w:t>
            </w:r>
          </w:p>
        </w:tc>
        <w:tc>
          <w:tcPr>
            <w:tcW w:w="0" w:type="dxa"/>
            <w:vAlign w:val="bottom"/>
          </w:tcPr>
          <w:p>
            <w:pPr>
              <w:spacing w:after="0"/>
              <w:rPr>
                <w:sz w:val="1"/>
                <w:szCs w:val="1"/>
                <w:color w:val="auto"/>
              </w:rPr>
            </w:pP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 Shares Granted</w:t>
            </w:r>
          </w:p>
        </w:tc>
        <w:tc>
          <w:tcPr>
            <w:tcW w:w="320" w:type="dxa"/>
            <w:vAlign w:val="bottom"/>
          </w:tcPr>
          <w:p>
            <w:pPr>
              <w:spacing w:after="0"/>
              <w:rPr>
                <w:sz w:val="19"/>
                <w:szCs w:val="19"/>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240" w:type="dxa"/>
            <w:vAlign w:val="bottom"/>
          </w:tcPr>
          <w:p>
            <w:pPr>
              <w:spacing w:after="0"/>
              <w:rPr>
                <w:sz w:val="19"/>
                <w:szCs w:val="19"/>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340" w:type="dxa"/>
            <w:vAlign w:val="bottom"/>
          </w:tcPr>
          <w:p>
            <w:pPr>
              <w:spacing w:after="0"/>
              <w:rPr>
                <w:sz w:val="19"/>
                <w:szCs w:val="19"/>
                <w:color w:val="auto"/>
              </w:rPr>
            </w:pPr>
          </w:p>
        </w:tc>
        <w:tc>
          <w:tcPr>
            <w:tcW w:w="3720" w:type="dxa"/>
            <w:vAlign w:val="bottom"/>
            <w:gridSpan w:val="2"/>
          </w:tcPr>
          <w:p>
            <w:pPr>
              <w:jc w:val="right"/>
              <w:ind w:right="252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March 31, 2026</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6/23/2025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6/23/2025</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12/1/2025</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00" w:type="dxa"/>
            <w:vAlign w:val="bottom"/>
            <w:tcBorders>
              <w:top w:val="single" w:sz="8" w:color="auto"/>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6"/>
                <w:szCs w:val="16"/>
                <w:color w:val="auto"/>
              </w:rPr>
              <w:t>Mr. Singh</w:t>
            </w:r>
          </w:p>
        </w:tc>
        <w:tc>
          <w:tcPr>
            <w:tcW w:w="300" w:type="dxa"/>
            <w:vAlign w:val="bottom"/>
            <w:tcBorders>
              <w:top w:val="single" w:sz="8" w:color="C0E6F5"/>
              <w:bottom w:val="single" w:sz="8" w:color="C0E6F5"/>
            </w:tcBorders>
            <w:shd w:val="clear" w:color="auto" w:fill="C0E6F5"/>
          </w:tcPr>
          <w:p>
            <w:pPr>
              <w:spacing w:after="0"/>
              <w:rPr>
                <w:sz w:val="20"/>
                <w:szCs w:val="20"/>
                <w:color w:val="auto"/>
              </w:rPr>
            </w:pPr>
          </w:p>
        </w:tc>
        <w:tc>
          <w:tcPr>
            <w:tcW w:w="320" w:type="dxa"/>
            <w:vAlign w:val="bottom"/>
            <w:tcBorders>
              <w:top w:val="single" w:sz="8" w:color="auto"/>
              <w:bottom w:val="single" w:sz="8" w:color="C0E6F5"/>
            </w:tcBorders>
            <w:shd w:val="clear" w:color="auto" w:fill="C0E6F5"/>
          </w:tcPr>
          <w:p>
            <w:pPr>
              <w:spacing w:after="0"/>
              <w:rPr>
                <w:sz w:val="20"/>
                <w:szCs w:val="20"/>
                <w:color w:val="auto"/>
              </w:rPr>
            </w:pPr>
          </w:p>
        </w:tc>
        <w:tc>
          <w:tcPr>
            <w:tcW w:w="1180" w:type="dxa"/>
            <w:vAlign w:val="bottom"/>
            <w:tcBorders>
              <w:top w:val="single" w:sz="8" w:color="auto"/>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Borders>
              <w:top w:val="single" w:sz="8" w:color="C0E6F5"/>
              <w:bottom w:val="single" w:sz="8" w:color="C0E6F5"/>
            </w:tcBorders>
            <w:shd w:val="clear" w:color="auto" w:fill="C0E6F5"/>
          </w:tcPr>
          <w:p>
            <w:pPr>
              <w:spacing w:after="0"/>
              <w:rPr>
                <w:sz w:val="20"/>
                <w:szCs w:val="20"/>
                <w:color w:val="auto"/>
              </w:rPr>
            </w:pPr>
          </w:p>
        </w:tc>
        <w:tc>
          <w:tcPr>
            <w:tcW w:w="240" w:type="dxa"/>
            <w:vAlign w:val="bottom"/>
            <w:tcBorders>
              <w:top w:val="single" w:sz="8" w:color="auto"/>
              <w:bottom w:val="single" w:sz="8" w:color="C0E6F5"/>
            </w:tcBorders>
            <w:shd w:val="clear" w:color="auto" w:fill="C0E6F5"/>
          </w:tcPr>
          <w:p>
            <w:pPr>
              <w:spacing w:after="0"/>
              <w:rPr>
                <w:sz w:val="20"/>
                <w:szCs w:val="20"/>
                <w:color w:val="auto"/>
              </w:rPr>
            </w:pPr>
          </w:p>
        </w:tc>
        <w:tc>
          <w:tcPr>
            <w:tcW w:w="1240" w:type="dxa"/>
            <w:vAlign w:val="bottom"/>
            <w:tcBorders>
              <w:top w:val="single" w:sz="8" w:color="auto"/>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0E6F5"/>
              <w:bottom w:val="single" w:sz="8" w:color="C0E6F5"/>
            </w:tcBorders>
            <w:shd w:val="clear" w:color="auto" w:fill="C0E6F5"/>
          </w:tcPr>
          <w:p>
            <w:pPr>
              <w:spacing w:after="0"/>
              <w:rPr>
                <w:sz w:val="20"/>
                <w:szCs w:val="20"/>
                <w:color w:val="auto"/>
              </w:rPr>
            </w:pPr>
          </w:p>
        </w:tc>
        <w:tc>
          <w:tcPr>
            <w:tcW w:w="340" w:type="dxa"/>
            <w:vAlign w:val="bottom"/>
            <w:tcBorders>
              <w:top w:val="single" w:sz="8" w:color="auto"/>
              <w:bottom w:val="single" w:sz="8" w:color="C0E6F5"/>
            </w:tcBorders>
            <w:shd w:val="clear" w:color="auto" w:fill="C0E6F5"/>
          </w:tcPr>
          <w:p>
            <w:pPr>
              <w:spacing w:after="0"/>
              <w:rPr>
                <w:sz w:val="20"/>
                <w:szCs w:val="20"/>
                <w:color w:val="auto"/>
              </w:rPr>
            </w:pPr>
          </w:p>
        </w:tc>
        <w:tc>
          <w:tcPr>
            <w:tcW w:w="1200" w:type="dxa"/>
            <w:vAlign w:val="bottom"/>
            <w:tcBorders>
              <w:top w:val="single" w:sz="8" w:color="auto"/>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Mr. Adler</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00" w:type="dxa"/>
            <w:vAlign w:val="bottom"/>
            <w:tcBorders>
              <w:bottom w:val="single" w:sz="8" w:color="CDEEFF"/>
            </w:tcBorders>
            <w:gridSpan w:val="2"/>
            <w:shd w:val="clear" w:color="auto" w:fill="CDEEFF"/>
          </w:tcPr>
          <w:p>
            <w:pPr>
              <w:ind w:left="20"/>
              <w:spacing w:after="0"/>
              <w:rPr>
                <w:sz w:val="20"/>
                <w:szCs w:val="20"/>
                <w:color w:val="auto"/>
              </w:rPr>
            </w:pPr>
            <w:r>
              <w:rPr>
                <w:rFonts w:ascii="Times New Roman" w:cs="Times New Roman" w:eastAsia="Times New Roman" w:hAnsi="Times New Roman"/>
                <w:sz w:val="16"/>
                <w:szCs w:val="16"/>
                <w:color w:val="auto"/>
              </w:rPr>
              <w:t>Mr. Prince</w:t>
            </w:r>
          </w:p>
        </w:tc>
        <w:tc>
          <w:tcPr>
            <w:tcW w:w="320" w:type="dxa"/>
            <w:vAlign w:val="bottom"/>
            <w:tcBorders>
              <w:bottom w:val="single" w:sz="8" w:color="CDEEFF"/>
            </w:tcBorders>
            <w:shd w:val="clear" w:color="auto" w:fill="CDEEFF"/>
          </w:tcPr>
          <w:p>
            <w:pPr>
              <w:spacing w:after="0"/>
              <w:rPr>
                <w:sz w:val="20"/>
                <w:szCs w:val="20"/>
                <w:color w:val="auto"/>
              </w:rPr>
            </w:pPr>
          </w:p>
        </w:tc>
        <w:tc>
          <w:tcPr>
            <w:tcW w:w="1180" w:type="dxa"/>
            <w:vAlign w:val="bottom"/>
            <w:tcBorders>
              <w:bottom w:val="single" w:sz="8" w:color="CDEEFF"/>
            </w:tcBorders>
            <w:shd w:val="clear" w:color="auto" w:fill="CD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Borders>
              <w:bottom w:val="single" w:sz="8" w:color="CDEEFF"/>
            </w:tcBorders>
            <w:shd w:val="clear" w:color="auto" w:fill="CDEEFF"/>
          </w:tcPr>
          <w:p>
            <w:pPr>
              <w:spacing w:after="0"/>
              <w:rPr>
                <w:sz w:val="20"/>
                <w:szCs w:val="20"/>
                <w:color w:val="auto"/>
              </w:rPr>
            </w:pPr>
          </w:p>
        </w:tc>
        <w:tc>
          <w:tcPr>
            <w:tcW w:w="240" w:type="dxa"/>
            <w:vAlign w:val="bottom"/>
            <w:tcBorders>
              <w:bottom w:val="single" w:sz="8" w:color="CDEEFF"/>
            </w:tcBorders>
            <w:shd w:val="clear" w:color="auto" w:fill="CDEEFF"/>
          </w:tcPr>
          <w:p>
            <w:pPr>
              <w:spacing w:after="0"/>
              <w:rPr>
                <w:sz w:val="20"/>
                <w:szCs w:val="20"/>
                <w:color w:val="auto"/>
              </w:rPr>
            </w:pPr>
          </w:p>
        </w:tc>
        <w:tc>
          <w:tcPr>
            <w:tcW w:w="1840" w:type="dxa"/>
            <w:vAlign w:val="bottom"/>
            <w:tcBorders>
              <w:bottom w:val="single" w:sz="8" w:color="CDEEFF"/>
            </w:tcBorders>
            <w:gridSpan w:val="2"/>
            <w:shd w:val="clear" w:color="auto" w:fill="CD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DEEFF"/>
            </w:tcBorders>
            <w:shd w:val="clear" w:color="auto" w:fill="CDEEFF"/>
          </w:tcPr>
          <w:p>
            <w:pPr>
              <w:spacing w:after="0"/>
              <w:rPr>
                <w:sz w:val="20"/>
                <w:szCs w:val="20"/>
                <w:color w:val="auto"/>
              </w:rPr>
            </w:pPr>
          </w:p>
        </w:tc>
        <w:tc>
          <w:tcPr>
            <w:tcW w:w="1200" w:type="dxa"/>
            <w:vAlign w:val="bottom"/>
            <w:tcBorders>
              <w:bottom w:val="single" w:sz="8" w:color="CDEEFF"/>
            </w:tcBorders>
            <w:shd w:val="clear" w:color="auto" w:fill="CD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Ms. Cote</w:t>
            </w:r>
          </w:p>
        </w:tc>
        <w:tc>
          <w:tcPr>
            <w:tcW w:w="320" w:type="dxa"/>
            <w:vAlign w:val="bottom"/>
          </w:tcPr>
          <w:p>
            <w:pPr>
              <w:spacing w:after="0"/>
              <w:rPr>
                <w:sz w:val="22"/>
                <w:szCs w:val="22"/>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720" w:type="dxa"/>
            <w:vAlign w:val="bottom"/>
            <w:gridSpan w:val="2"/>
          </w:tcPr>
          <w:p>
            <w:pPr>
              <w:jc w:val="right"/>
              <w:ind w:right="2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DEEFF"/>
            </w:tcBorders>
            <w:gridSpan w:val="2"/>
            <w:shd w:val="clear" w:color="auto" w:fill="CDEEFF"/>
          </w:tcPr>
          <w:p>
            <w:pPr>
              <w:ind w:left="20"/>
              <w:spacing w:after="0"/>
              <w:rPr>
                <w:sz w:val="20"/>
                <w:szCs w:val="20"/>
                <w:color w:val="auto"/>
              </w:rPr>
            </w:pPr>
            <w:r>
              <w:rPr>
                <w:rFonts w:ascii="Times New Roman" w:cs="Times New Roman" w:eastAsia="Times New Roman" w:hAnsi="Times New Roman"/>
                <w:sz w:val="16"/>
                <w:szCs w:val="16"/>
                <w:color w:val="auto"/>
              </w:rPr>
              <w:t>Mr. Tressler</w:t>
            </w:r>
          </w:p>
        </w:tc>
        <w:tc>
          <w:tcPr>
            <w:tcW w:w="320" w:type="dxa"/>
            <w:vAlign w:val="bottom"/>
            <w:tcBorders>
              <w:bottom w:val="single" w:sz="8" w:color="CDEEFF"/>
            </w:tcBorders>
            <w:shd w:val="clear" w:color="auto" w:fill="CDEEFF"/>
          </w:tcPr>
          <w:p>
            <w:pPr>
              <w:spacing w:after="0"/>
              <w:rPr>
                <w:sz w:val="20"/>
                <w:szCs w:val="20"/>
                <w:color w:val="auto"/>
              </w:rPr>
            </w:pPr>
          </w:p>
        </w:tc>
        <w:tc>
          <w:tcPr>
            <w:tcW w:w="1480" w:type="dxa"/>
            <w:vAlign w:val="bottom"/>
            <w:tcBorders>
              <w:bottom w:val="single" w:sz="8" w:color="CDEEFF"/>
            </w:tcBorders>
            <w:gridSpan w:val="2"/>
            <w:shd w:val="clear" w:color="auto" w:fill="CD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DEEFF"/>
            </w:tcBorders>
            <w:shd w:val="clear" w:color="auto" w:fill="CDEEFF"/>
          </w:tcPr>
          <w:p>
            <w:pPr>
              <w:spacing w:after="0"/>
              <w:rPr>
                <w:sz w:val="20"/>
                <w:szCs w:val="20"/>
                <w:color w:val="auto"/>
              </w:rPr>
            </w:pPr>
          </w:p>
        </w:tc>
        <w:tc>
          <w:tcPr>
            <w:tcW w:w="1840" w:type="dxa"/>
            <w:vAlign w:val="bottom"/>
            <w:tcBorders>
              <w:bottom w:val="single" w:sz="8" w:color="CDEEFF"/>
            </w:tcBorders>
            <w:gridSpan w:val="2"/>
            <w:shd w:val="clear" w:color="auto" w:fill="CD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DEEFF"/>
            </w:tcBorders>
            <w:shd w:val="clear" w:color="auto" w:fill="CDEEFF"/>
          </w:tcPr>
          <w:p>
            <w:pPr>
              <w:spacing w:after="0"/>
              <w:rPr>
                <w:sz w:val="20"/>
                <w:szCs w:val="20"/>
                <w:color w:val="auto"/>
              </w:rPr>
            </w:pPr>
          </w:p>
        </w:tc>
        <w:tc>
          <w:tcPr>
            <w:tcW w:w="1200" w:type="dxa"/>
            <w:vAlign w:val="bottom"/>
            <w:tcBorders>
              <w:bottom w:val="single" w:sz="8" w:color="CDEEFF"/>
            </w:tcBorders>
            <w:shd w:val="clear" w:color="auto" w:fill="CD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Inducement</w:t>
            </w:r>
          </w:p>
        </w:tc>
        <w:tc>
          <w:tcPr>
            <w:tcW w:w="340" w:type="dxa"/>
            <w:vAlign w:val="bottom"/>
          </w:tcPr>
          <w:p>
            <w:pPr>
              <w:spacing w:after="0"/>
              <w:rPr>
                <w:sz w:val="24"/>
                <w:szCs w:val="24"/>
                <w:color w:val="auto"/>
              </w:rPr>
            </w:pPr>
          </w:p>
        </w:tc>
        <w:tc>
          <w:tcPr>
            <w:tcW w:w="3720" w:type="dxa"/>
            <w:vAlign w:val="bottom"/>
            <w:gridSpan w:val="2"/>
          </w:tcPr>
          <w:p>
            <w:pPr>
              <w:jc w:val="right"/>
              <w:ind w:right="2520"/>
              <w:spacing w:after="0"/>
              <w:rPr>
                <w:sz w:val="20"/>
                <w:szCs w:val="20"/>
                <w:color w:val="auto"/>
              </w:rPr>
            </w:pPr>
            <w:r>
              <w:rPr>
                <w:rFonts w:ascii="Times New Roman" w:cs="Times New Roman" w:eastAsia="Times New Roman" w:hAnsi="Times New Roman"/>
                <w:sz w:val="16"/>
                <w:szCs w:val="16"/>
                <w:b w:val="1"/>
                <w:bCs w:val="1"/>
                <w:color w:val="auto"/>
              </w:rPr>
              <w:t>Inducement</w:t>
            </w:r>
          </w:p>
        </w:tc>
        <w:tc>
          <w:tcPr>
            <w:tcW w:w="0" w:type="dxa"/>
            <w:vAlign w:val="bottom"/>
          </w:tcPr>
          <w:p>
            <w:pPr>
              <w:spacing w:after="0"/>
              <w:rPr>
                <w:sz w:val="1"/>
                <w:szCs w:val="1"/>
                <w:color w:val="auto"/>
              </w:rPr>
            </w:pP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 Award Compensation</w:t>
            </w:r>
          </w:p>
        </w:tc>
        <w:tc>
          <w:tcPr>
            <w:tcW w:w="320" w:type="dxa"/>
            <w:vAlign w:val="bottom"/>
          </w:tcPr>
          <w:p>
            <w:pPr>
              <w:spacing w:after="0"/>
              <w:rPr>
                <w:sz w:val="19"/>
                <w:szCs w:val="19"/>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240" w:type="dxa"/>
            <w:vAlign w:val="bottom"/>
          </w:tcPr>
          <w:p>
            <w:pPr>
              <w:spacing w:after="0"/>
              <w:rPr>
                <w:sz w:val="19"/>
                <w:szCs w:val="19"/>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340" w:type="dxa"/>
            <w:vAlign w:val="bottom"/>
          </w:tcPr>
          <w:p>
            <w:pPr>
              <w:spacing w:after="0"/>
              <w:rPr>
                <w:sz w:val="19"/>
                <w:szCs w:val="19"/>
                <w:color w:val="auto"/>
              </w:rPr>
            </w:pPr>
          </w:p>
        </w:tc>
        <w:tc>
          <w:tcPr>
            <w:tcW w:w="3720" w:type="dxa"/>
            <w:vAlign w:val="bottom"/>
            <w:gridSpan w:val="2"/>
          </w:tcPr>
          <w:p>
            <w:pPr>
              <w:jc w:val="right"/>
              <w:ind w:right="252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March 31, 2026</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6/23/2025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6/23/2025</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12/1/2025</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00" w:type="dxa"/>
            <w:vAlign w:val="bottom"/>
            <w:tcBorders>
              <w:top w:val="single" w:sz="8" w:color="auto"/>
              <w:bottom w:val="single" w:sz="8" w:color="CDEEFF"/>
            </w:tcBorders>
            <w:shd w:val="clear" w:color="auto" w:fill="CDEEFF"/>
          </w:tcPr>
          <w:p>
            <w:pPr>
              <w:ind w:left="20"/>
              <w:spacing w:after="0"/>
              <w:rPr>
                <w:sz w:val="20"/>
                <w:szCs w:val="20"/>
                <w:color w:val="auto"/>
              </w:rPr>
            </w:pPr>
            <w:r>
              <w:rPr>
                <w:rFonts w:ascii="Times New Roman" w:cs="Times New Roman" w:eastAsia="Times New Roman" w:hAnsi="Times New Roman"/>
                <w:sz w:val="16"/>
                <w:szCs w:val="16"/>
                <w:color w:val="auto"/>
              </w:rPr>
              <w:t>Mr. Singh</w:t>
            </w:r>
          </w:p>
        </w:tc>
        <w:tc>
          <w:tcPr>
            <w:tcW w:w="300" w:type="dxa"/>
            <w:vAlign w:val="bottom"/>
            <w:tcBorders>
              <w:top w:val="single" w:sz="8" w:color="CDEEFF"/>
              <w:bottom w:val="single" w:sz="8" w:color="CDEEFF"/>
            </w:tcBorders>
            <w:shd w:val="clear" w:color="auto" w:fill="CDEEFF"/>
          </w:tcPr>
          <w:p>
            <w:pPr>
              <w:spacing w:after="0"/>
              <w:rPr>
                <w:sz w:val="20"/>
                <w:szCs w:val="20"/>
                <w:color w:val="auto"/>
              </w:rPr>
            </w:pPr>
          </w:p>
        </w:tc>
        <w:tc>
          <w:tcPr>
            <w:tcW w:w="320" w:type="dxa"/>
            <w:vAlign w:val="bottom"/>
            <w:tcBorders>
              <w:top w:val="single" w:sz="8" w:color="auto"/>
              <w:bottom w:val="single" w:sz="8" w:color="CDEEFF"/>
            </w:tcBorders>
            <w:shd w:val="clear" w:color="auto" w:fill="CD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DEEFF"/>
            </w:tcBorders>
            <w:shd w:val="clear" w:color="auto" w:fill="CDEEFF"/>
          </w:tcPr>
          <w:p>
            <w:pPr>
              <w:jc w:val="right"/>
              <w:spacing w:after="0"/>
              <w:rPr>
                <w:sz w:val="20"/>
                <w:szCs w:val="20"/>
                <w:color w:val="auto"/>
              </w:rPr>
            </w:pPr>
            <w:r>
              <w:rPr>
                <w:rFonts w:ascii="Times New Roman" w:cs="Times New Roman" w:eastAsia="Times New Roman" w:hAnsi="Times New Roman"/>
                <w:sz w:val="18"/>
                <w:szCs w:val="18"/>
                <w:color w:val="auto"/>
              </w:rPr>
              <w:t>562,560</w:t>
            </w:r>
          </w:p>
        </w:tc>
        <w:tc>
          <w:tcPr>
            <w:tcW w:w="300" w:type="dxa"/>
            <w:vAlign w:val="bottom"/>
            <w:tcBorders>
              <w:top w:val="single" w:sz="8" w:color="CDEEFF"/>
              <w:bottom w:val="single" w:sz="8" w:color="CDEEFF"/>
            </w:tcBorders>
            <w:shd w:val="clear" w:color="auto" w:fill="CDEEFF"/>
          </w:tcPr>
          <w:p>
            <w:pPr>
              <w:spacing w:after="0"/>
              <w:rPr>
                <w:sz w:val="20"/>
                <w:szCs w:val="20"/>
                <w:color w:val="auto"/>
              </w:rPr>
            </w:pPr>
          </w:p>
        </w:tc>
        <w:tc>
          <w:tcPr>
            <w:tcW w:w="240" w:type="dxa"/>
            <w:vAlign w:val="bottom"/>
            <w:tcBorders>
              <w:top w:val="single" w:sz="8" w:color="auto"/>
              <w:bottom w:val="single" w:sz="8" w:color="CDEEFF"/>
            </w:tcBorders>
            <w:shd w:val="clear" w:color="auto" w:fill="CD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DEEFF"/>
            </w:tcBorders>
            <w:shd w:val="clear" w:color="auto" w:fill="CD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DEEFF"/>
              <w:bottom w:val="single" w:sz="8" w:color="CDEEFF"/>
            </w:tcBorders>
            <w:shd w:val="clear" w:color="auto" w:fill="CDEEFF"/>
          </w:tcPr>
          <w:p>
            <w:pPr>
              <w:spacing w:after="0"/>
              <w:rPr>
                <w:sz w:val="20"/>
                <w:szCs w:val="20"/>
                <w:color w:val="auto"/>
              </w:rPr>
            </w:pPr>
          </w:p>
        </w:tc>
        <w:tc>
          <w:tcPr>
            <w:tcW w:w="340" w:type="dxa"/>
            <w:vAlign w:val="bottom"/>
            <w:tcBorders>
              <w:top w:val="single" w:sz="8" w:color="auto"/>
              <w:bottom w:val="single" w:sz="8" w:color="CDEEFF"/>
            </w:tcBorders>
            <w:shd w:val="clear" w:color="auto" w:fill="CD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DEEFF"/>
            </w:tcBorders>
            <w:shd w:val="clear" w:color="auto" w:fill="CD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Mr. Adler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187,520</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00" w:type="dxa"/>
            <w:vAlign w:val="bottom"/>
            <w:tcBorders>
              <w:bottom w:val="single" w:sz="8" w:color="CDEEFF"/>
            </w:tcBorders>
            <w:gridSpan w:val="2"/>
            <w:shd w:val="clear" w:color="auto" w:fill="CDEEFF"/>
          </w:tcPr>
          <w:p>
            <w:pPr>
              <w:ind w:left="20"/>
              <w:spacing w:after="0"/>
              <w:rPr>
                <w:sz w:val="20"/>
                <w:szCs w:val="20"/>
                <w:color w:val="auto"/>
              </w:rPr>
            </w:pPr>
            <w:r>
              <w:rPr>
                <w:rFonts w:ascii="Times New Roman" w:cs="Times New Roman" w:eastAsia="Times New Roman" w:hAnsi="Times New Roman"/>
                <w:sz w:val="16"/>
                <w:szCs w:val="16"/>
                <w:color w:val="auto"/>
              </w:rPr>
              <w:t>Mr. Prince</w:t>
            </w:r>
          </w:p>
        </w:tc>
        <w:tc>
          <w:tcPr>
            <w:tcW w:w="320" w:type="dxa"/>
            <w:vAlign w:val="bottom"/>
            <w:tcBorders>
              <w:bottom w:val="single" w:sz="8" w:color="CDEEFF"/>
            </w:tcBorders>
            <w:shd w:val="clear" w:color="auto" w:fill="CD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DEEFF"/>
            </w:tcBorders>
            <w:shd w:val="clear" w:color="auto" w:fill="CDEEFF"/>
          </w:tcPr>
          <w:p>
            <w:pPr>
              <w:jc w:val="right"/>
              <w:spacing w:after="0"/>
              <w:rPr>
                <w:sz w:val="20"/>
                <w:szCs w:val="20"/>
                <w:color w:val="auto"/>
              </w:rPr>
            </w:pPr>
            <w:r>
              <w:rPr>
                <w:rFonts w:ascii="Times New Roman" w:cs="Times New Roman" w:eastAsia="Times New Roman" w:hAnsi="Times New Roman"/>
                <w:sz w:val="18"/>
                <w:szCs w:val="18"/>
                <w:color w:val="auto"/>
              </w:rPr>
              <w:t>187,520</w:t>
            </w:r>
          </w:p>
        </w:tc>
        <w:tc>
          <w:tcPr>
            <w:tcW w:w="300" w:type="dxa"/>
            <w:vAlign w:val="bottom"/>
            <w:tcBorders>
              <w:bottom w:val="single" w:sz="8" w:color="CDEEFF"/>
            </w:tcBorders>
            <w:shd w:val="clear" w:color="auto" w:fill="CDEEFF"/>
          </w:tcPr>
          <w:p>
            <w:pPr>
              <w:spacing w:after="0"/>
              <w:rPr>
                <w:sz w:val="20"/>
                <w:szCs w:val="20"/>
                <w:color w:val="auto"/>
              </w:rPr>
            </w:pPr>
          </w:p>
        </w:tc>
        <w:tc>
          <w:tcPr>
            <w:tcW w:w="240" w:type="dxa"/>
            <w:vAlign w:val="bottom"/>
            <w:tcBorders>
              <w:bottom w:val="single" w:sz="8" w:color="CDEEFF"/>
            </w:tcBorders>
            <w:shd w:val="clear" w:color="auto" w:fill="CD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DEEFF"/>
            </w:tcBorders>
            <w:gridSpan w:val="2"/>
            <w:shd w:val="clear" w:color="auto" w:fill="CD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DEEFF"/>
            </w:tcBorders>
            <w:shd w:val="clear" w:color="auto" w:fill="CD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DEEFF"/>
            </w:tcBorders>
            <w:shd w:val="clear" w:color="auto" w:fill="CD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Ms. Cote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281,925</w:t>
            </w:r>
          </w:p>
        </w:tc>
        <w:tc>
          <w:tcPr>
            <w:tcW w:w="6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00" w:type="dxa"/>
            <w:vAlign w:val="bottom"/>
            <w:tcBorders>
              <w:bottom w:val="single" w:sz="8" w:color="CDEEFF"/>
            </w:tcBorders>
            <w:gridSpan w:val="2"/>
            <w:shd w:val="clear" w:color="auto" w:fill="CDEEFF"/>
          </w:tcPr>
          <w:p>
            <w:pPr>
              <w:ind w:left="20"/>
              <w:spacing w:after="0"/>
              <w:rPr>
                <w:sz w:val="20"/>
                <w:szCs w:val="20"/>
                <w:color w:val="auto"/>
              </w:rPr>
            </w:pPr>
            <w:r>
              <w:rPr>
                <w:rFonts w:ascii="Times New Roman" w:cs="Times New Roman" w:eastAsia="Times New Roman" w:hAnsi="Times New Roman"/>
                <w:sz w:val="16"/>
                <w:szCs w:val="16"/>
                <w:color w:val="auto"/>
              </w:rPr>
              <w:t>Mr. Tressler</w:t>
            </w:r>
          </w:p>
        </w:tc>
        <w:tc>
          <w:tcPr>
            <w:tcW w:w="320" w:type="dxa"/>
            <w:vAlign w:val="bottom"/>
            <w:tcBorders>
              <w:bottom w:val="single" w:sz="8" w:color="CDEEFF"/>
            </w:tcBorders>
            <w:shd w:val="clear" w:color="auto" w:fill="CD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DEEFF"/>
            </w:tcBorders>
            <w:gridSpan w:val="2"/>
            <w:shd w:val="clear" w:color="auto" w:fill="CD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DEEFF"/>
            </w:tcBorders>
            <w:shd w:val="clear" w:color="auto" w:fill="CD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DEEFF"/>
            </w:tcBorders>
            <w:gridSpan w:val="2"/>
            <w:shd w:val="clear" w:color="auto" w:fill="CD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DEEFF"/>
            </w:tcBorders>
            <w:shd w:val="clear" w:color="auto" w:fill="CD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DEEFF"/>
            </w:tcBorders>
            <w:shd w:val="clear" w:color="auto" w:fill="CDEEFF"/>
          </w:tcPr>
          <w:p>
            <w:pPr>
              <w:jc w:val="right"/>
              <w:spacing w:after="0"/>
              <w:rPr>
                <w:sz w:val="20"/>
                <w:szCs w:val="20"/>
                <w:color w:val="auto"/>
              </w:rPr>
            </w:pPr>
            <w:r>
              <w:rPr>
                <w:rFonts w:ascii="Times New Roman" w:cs="Times New Roman" w:eastAsia="Times New Roman" w:hAnsi="Times New Roman"/>
                <w:sz w:val="18"/>
                <w:szCs w:val="18"/>
                <w:color w:val="auto"/>
              </w:rPr>
              <w:t>641,790</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Inducement</w:t>
            </w:r>
          </w:p>
        </w:tc>
        <w:tc>
          <w:tcPr>
            <w:tcW w:w="340" w:type="dxa"/>
            <w:vAlign w:val="bottom"/>
          </w:tcPr>
          <w:p>
            <w:pPr>
              <w:spacing w:after="0"/>
              <w:rPr>
                <w:sz w:val="24"/>
                <w:szCs w:val="24"/>
                <w:color w:val="auto"/>
              </w:rPr>
            </w:pPr>
          </w:p>
        </w:tc>
        <w:tc>
          <w:tcPr>
            <w:tcW w:w="3720" w:type="dxa"/>
            <w:vAlign w:val="bottom"/>
            <w:gridSpan w:val="2"/>
          </w:tcPr>
          <w:p>
            <w:pPr>
              <w:jc w:val="right"/>
              <w:ind w:right="2520"/>
              <w:spacing w:after="0"/>
              <w:rPr>
                <w:sz w:val="20"/>
                <w:szCs w:val="20"/>
                <w:color w:val="auto"/>
              </w:rPr>
            </w:pPr>
            <w:r>
              <w:rPr>
                <w:rFonts w:ascii="Times New Roman" w:cs="Times New Roman" w:eastAsia="Times New Roman" w:hAnsi="Times New Roman"/>
                <w:sz w:val="16"/>
                <w:szCs w:val="16"/>
                <w:b w:val="1"/>
                <w:bCs w:val="1"/>
                <w:color w:val="auto"/>
              </w:rPr>
              <w:t>Inducement</w:t>
            </w:r>
          </w:p>
        </w:tc>
        <w:tc>
          <w:tcPr>
            <w:tcW w:w="0" w:type="dxa"/>
            <w:vAlign w:val="bottom"/>
          </w:tcPr>
          <w:p>
            <w:pPr>
              <w:spacing w:after="0"/>
              <w:rPr>
                <w:sz w:val="1"/>
                <w:szCs w:val="1"/>
                <w:color w:val="auto"/>
              </w:rPr>
            </w:pP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 Award Assumptions</w:t>
            </w:r>
          </w:p>
        </w:tc>
        <w:tc>
          <w:tcPr>
            <w:tcW w:w="320" w:type="dxa"/>
            <w:vAlign w:val="bottom"/>
          </w:tcPr>
          <w:p>
            <w:pPr>
              <w:spacing w:after="0"/>
              <w:rPr>
                <w:sz w:val="19"/>
                <w:szCs w:val="19"/>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240" w:type="dxa"/>
            <w:vAlign w:val="bottom"/>
          </w:tcPr>
          <w:p>
            <w:pPr>
              <w:spacing w:after="0"/>
              <w:rPr>
                <w:sz w:val="19"/>
                <w:szCs w:val="19"/>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340" w:type="dxa"/>
            <w:vAlign w:val="bottom"/>
          </w:tcPr>
          <w:p>
            <w:pPr>
              <w:spacing w:after="0"/>
              <w:rPr>
                <w:sz w:val="19"/>
                <w:szCs w:val="19"/>
                <w:color w:val="auto"/>
              </w:rPr>
            </w:pPr>
          </w:p>
        </w:tc>
        <w:tc>
          <w:tcPr>
            <w:tcW w:w="3720" w:type="dxa"/>
            <w:vAlign w:val="bottom"/>
            <w:gridSpan w:val="2"/>
          </w:tcPr>
          <w:p>
            <w:pPr>
              <w:jc w:val="right"/>
              <w:ind w:right="252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March 31, 2026</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6/23/25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6/23/2025</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12/1/25</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00" w:type="dxa"/>
            <w:vAlign w:val="bottom"/>
            <w:tcBorders>
              <w:top w:val="single" w:sz="8" w:color="auto"/>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6"/>
                <w:szCs w:val="16"/>
                <w:color w:val="auto"/>
              </w:rPr>
              <w:t>Market price per share on grant date</w:t>
            </w:r>
          </w:p>
        </w:tc>
        <w:tc>
          <w:tcPr>
            <w:tcW w:w="300" w:type="dxa"/>
            <w:vAlign w:val="bottom"/>
            <w:tcBorders>
              <w:top w:val="single" w:sz="8" w:color="C0E6F5"/>
              <w:bottom w:val="single" w:sz="8" w:color="C0E6F5"/>
            </w:tcBorders>
            <w:shd w:val="clear" w:color="auto" w:fill="C0E6F5"/>
          </w:tcPr>
          <w:p>
            <w:pPr>
              <w:spacing w:after="0"/>
              <w:rPr>
                <w:sz w:val="20"/>
                <w:szCs w:val="20"/>
                <w:color w:val="auto"/>
              </w:rPr>
            </w:pPr>
          </w:p>
        </w:tc>
        <w:tc>
          <w:tcPr>
            <w:tcW w:w="320" w:type="dxa"/>
            <w:vAlign w:val="bottom"/>
            <w:tcBorders>
              <w:top w:val="single" w:sz="8" w:color="auto"/>
              <w:bottom w:val="single" w:sz="8" w:color="C0E6F5"/>
            </w:tcBorders>
            <w:shd w:val="clear" w:color="auto" w:fill="C0E6F5"/>
          </w:tcPr>
          <w:p>
            <w:pPr>
              <w:spacing w:after="0"/>
              <w:rPr>
                <w:sz w:val="20"/>
                <w:szCs w:val="20"/>
                <w:color w:val="auto"/>
              </w:rPr>
            </w:pPr>
          </w:p>
        </w:tc>
        <w:tc>
          <w:tcPr>
            <w:tcW w:w="1180" w:type="dxa"/>
            <w:vAlign w:val="bottom"/>
            <w:tcBorders>
              <w:top w:val="single" w:sz="8" w:color="auto"/>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Borders>
              <w:top w:val="single" w:sz="8" w:color="C0E6F5"/>
              <w:bottom w:val="single" w:sz="8" w:color="C0E6F5"/>
            </w:tcBorders>
            <w:shd w:val="clear" w:color="auto" w:fill="C0E6F5"/>
          </w:tcPr>
          <w:p>
            <w:pPr>
              <w:spacing w:after="0"/>
              <w:rPr>
                <w:sz w:val="20"/>
                <w:szCs w:val="20"/>
                <w:color w:val="auto"/>
              </w:rPr>
            </w:pPr>
          </w:p>
        </w:tc>
        <w:tc>
          <w:tcPr>
            <w:tcW w:w="240" w:type="dxa"/>
            <w:vAlign w:val="bottom"/>
            <w:tcBorders>
              <w:top w:val="single" w:sz="8" w:color="auto"/>
              <w:bottom w:val="single" w:sz="8" w:color="C0E6F5"/>
            </w:tcBorders>
            <w:shd w:val="clear" w:color="auto" w:fill="C0E6F5"/>
          </w:tcPr>
          <w:p>
            <w:pPr>
              <w:spacing w:after="0"/>
              <w:rPr>
                <w:sz w:val="20"/>
                <w:szCs w:val="20"/>
                <w:color w:val="auto"/>
              </w:rPr>
            </w:pPr>
          </w:p>
        </w:tc>
        <w:tc>
          <w:tcPr>
            <w:tcW w:w="1240" w:type="dxa"/>
            <w:vAlign w:val="bottom"/>
            <w:tcBorders>
              <w:top w:val="single" w:sz="8" w:color="auto"/>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0" w:type="dxa"/>
            <w:vAlign w:val="bottom"/>
            <w:tcBorders>
              <w:top w:val="single" w:sz="8" w:color="C0E6F5"/>
              <w:bottom w:val="single" w:sz="8" w:color="C0E6F5"/>
            </w:tcBorders>
            <w:shd w:val="clear" w:color="auto" w:fill="C0E6F5"/>
          </w:tcPr>
          <w:p>
            <w:pPr>
              <w:spacing w:after="0"/>
              <w:rPr>
                <w:sz w:val="20"/>
                <w:szCs w:val="20"/>
                <w:color w:val="auto"/>
              </w:rPr>
            </w:pPr>
          </w:p>
        </w:tc>
        <w:tc>
          <w:tcPr>
            <w:tcW w:w="340" w:type="dxa"/>
            <w:vAlign w:val="bottom"/>
            <w:tcBorders>
              <w:top w:val="single" w:sz="8" w:color="auto"/>
              <w:bottom w:val="single" w:sz="8" w:color="C0E6F5"/>
            </w:tcBorders>
            <w:shd w:val="clear" w:color="auto" w:fill="C0E6F5"/>
          </w:tcPr>
          <w:p>
            <w:pPr>
              <w:spacing w:after="0"/>
              <w:rPr>
                <w:sz w:val="20"/>
                <w:szCs w:val="20"/>
                <w:color w:val="auto"/>
              </w:rPr>
            </w:pPr>
          </w:p>
        </w:tc>
        <w:tc>
          <w:tcPr>
            <w:tcW w:w="1200" w:type="dxa"/>
            <w:vAlign w:val="bottom"/>
            <w:tcBorders>
              <w:top w:val="single" w:sz="8" w:color="auto"/>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5"/>
        </w:trPr>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129</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price per share</w:t>
            </w:r>
          </w:p>
        </w:tc>
        <w:tc>
          <w:tcPr>
            <w:tcW w:w="25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$1.96</w:t>
            </w:r>
          </w:p>
        </w:tc>
        <w:tc>
          <w:tcPr>
            <w:tcW w:w="196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$1.96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7"/>
        </w:trPr>
        <w:tc>
          <w:tcPr>
            <w:tcW w:w="2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00" w:type="dxa"/>
            <w:vAlign w:val="bottom"/>
            <w:shd w:val="clear" w:color="auto" w:fill="C0E6F5"/>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2500" w:type="dxa"/>
            <w:vAlign w:val="bottom"/>
            <w:shd w:val="clear" w:color="auto" w:fill="C0E6F5"/>
          </w:tcPr>
          <w:p>
            <w:pPr>
              <w:jc w:val="right"/>
              <w:ind w:right="515"/>
              <w:spacing w:after="0"/>
              <w:rPr>
                <w:sz w:val="20"/>
                <w:szCs w:val="20"/>
                <w:color w:val="auto"/>
              </w:rPr>
            </w:pPr>
            <w:r>
              <w:rPr>
                <w:rFonts w:ascii="Times New Roman" w:cs="Times New Roman" w:eastAsia="Times New Roman" w:hAnsi="Times New Roman"/>
                <w:sz w:val="16"/>
                <w:szCs w:val="16"/>
                <w:color w:val="auto"/>
              </w:rPr>
              <w:t>5.77</w:t>
            </w:r>
          </w:p>
        </w:tc>
        <w:tc>
          <w:tcPr>
            <w:tcW w:w="1960" w:type="dxa"/>
            <w:vAlign w:val="bottom"/>
            <w:shd w:val="clear" w:color="auto" w:fill="C0E6F5"/>
          </w:tcPr>
          <w:p>
            <w:pPr>
              <w:jc w:val="right"/>
              <w:ind w:right="695"/>
              <w:spacing w:after="0"/>
              <w:rPr>
                <w:sz w:val="20"/>
                <w:szCs w:val="20"/>
                <w:color w:val="auto"/>
              </w:rPr>
            </w:pPr>
            <w:r>
              <w:rPr>
                <w:rFonts w:ascii="Times New Roman" w:cs="Times New Roman" w:eastAsia="Times New Roman" w:hAnsi="Times New Roman"/>
                <w:sz w:val="16"/>
                <w:szCs w:val="16"/>
                <w:color w:val="auto"/>
              </w:rPr>
              <w:t>6.08</w:t>
            </w:r>
          </w:p>
        </w:tc>
        <w:tc>
          <w:tcPr>
            <w:tcW w:w="136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2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2500" w:type="dxa"/>
            <w:vAlign w:val="bottom"/>
          </w:tcPr>
          <w:p>
            <w:pPr>
              <w:jc w:val="right"/>
              <w:ind w:right="515"/>
              <w:spacing w:after="0"/>
              <w:rPr>
                <w:sz w:val="20"/>
                <w:szCs w:val="20"/>
                <w:color w:val="auto"/>
              </w:rPr>
            </w:pPr>
            <w:r>
              <w:rPr>
                <w:rFonts w:ascii="Times New Roman" w:cs="Times New Roman" w:eastAsia="Times New Roman" w:hAnsi="Times New Roman"/>
                <w:sz w:val="16"/>
                <w:szCs w:val="16"/>
                <w:color w:val="auto"/>
              </w:rPr>
              <w:t>164.30%</w:t>
            </w:r>
          </w:p>
        </w:tc>
        <w:tc>
          <w:tcPr>
            <w:tcW w:w="1960" w:type="dxa"/>
            <w:vAlign w:val="bottom"/>
          </w:tcPr>
          <w:p>
            <w:pPr>
              <w:jc w:val="right"/>
              <w:ind w:right="695"/>
              <w:spacing w:after="0"/>
              <w:rPr>
                <w:sz w:val="20"/>
                <w:szCs w:val="20"/>
                <w:color w:val="auto"/>
              </w:rPr>
            </w:pPr>
            <w:r>
              <w:rPr>
                <w:rFonts w:ascii="Times New Roman" w:cs="Times New Roman" w:eastAsia="Times New Roman" w:hAnsi="Times New Roman"/>
                <w:sz w:val="16"/>
                <w:szCs w:val="16"/>
                <w:color w:val="auto"/>
              </w:rPr>
              <w:t>161.63%</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167.98%</w:t>
            </w:r>
          </w:p>
        </w:tc>
      </w:tr>
      <w:tr>
        <w:trPr>
          <w:trHeight w:val="239"/>
        </w:trPr>
        <w:tc>
          <w:tcPr>
            <w:tcW w:w="2900" w:type="dxa"/>
            <w:vAlign w:val="bottom"/>
            <w:shd w:val="clear" w:color="auto" w:fill="C0E6F5"/>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500" w:type="dxa"/>
            <w:vAlign w:val="bottom"/>
            <w:shd w:val="clear" w:color="auto" w:fill="C0E6F5"/>
          </w:tcPr>
          <w:p>
            <w:pPr>
              <w:jc w:val="right"/>
              <w:ind w:right="515"/>
              <w:spacing w:after="0"/>
              <w:rPr>
                <w:sz w:val="20"/>
                <w:szCs w:val="20"/>
                <w:color w:val="auto"/>
              </w:rPr>
            </w:pPr>
            <w:r>
              <w:rPr>
                <w:rFonts w:ascii="Times New Roman" w:cs="Times New Roman" w:eastAsia="Times New Roman" w:hAnsi="Times New Roman"/>
                <w:sz w:val="16"/>
                <w:szCs w:val="16"/>
                <w:color w:val="auto"/>
              </w:rPr>
              <w:t>3.98%</w:t>
            </w:r>
          </w:p>
        </w:tc>
        <w:tc>
          <w:tcPr>
            <w:tcW w:w="1960" w:type="dxa"/>
            <w:vAlign w:val="bottom"/>
            <w:shd w:val="clear" w:color="auto" w:fill="C0E6F5"/>
          </w:tcPr>
          <w:p>
            <w:pPr>
              <w:jc w:val="right"/>
              <w:ind w:right="695"/>
              <w:spacing w:after="0"/>
              <w:rPr>
                <w:sz w:val="20"/>
                <w:szCs w:val="20"/>
                <w:color w:val="auto"/>
              </w:rPr>
            </w:pPr>
            <w:r>
              <w:rPr>
                <w:rFonts w:ascii="Times New Roman" w:cs="Times New Roman" w:eastAsia="Times New Roman" w:hAnsi="Times New Roman"/>
                <w:sz w:val="16"/>
                <w:szCs w:val="16"/>
                <w:color w:val="auto"/>
              </w:rPr>
              <w:t>4.01%</w:t>
            </w:r>
          </w:p>
        </w:tc>
        <w:tc>
          <w:tcPr>
            <w:tcW w:w="136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2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rate</w:t>
            </w:r>
          </w:p>
        </w:tc>
        <w:tc>
          <w:tcPr>
            <w:tcW w:w="2500" w:type="dxa"/>
            <w:vAlign w:val="bottom"/>
          </w:tcPr>
          <w:p>
            <w:pPr>
              <w:jc w:val="right"/>
              <w:ind w:right="515"/>
              <w:spacing w:after="0"/>
              <w:rPr>
                <w:sz w:val="20"/>
                <w:szCs w:val="20"/>
                <w:color w:val="auto"/>
              </w:rPr>
            </w:pPr>
            <w:r>
              <w:rPr>
                <w:rFonts w:ascii="Times New Roman" w:cs="Times New Roman" w:eastAsia="Times New Roman" w:hAnsi="Times New Roman"/>
                <w:sz w:val="16"/>
                <w:szCs w:val="16"/>
                <w:color w:val="auto"/>
              </w:rPr>
              <w:t>0.0%</w:t>
            </w:r>
          </w:p>
        </w:tc>
        <w:tc>
          <w:tcPr>
            <w:tcW w:w="1960" w:type="dxa"/>
            <w:vAlign w:val="bottom"/>
          </w:tcPr>
          <w:p>
            <w:pPr>
              <w:jc w:val="right"/>
              <w:ind w:right="695"/>
              <w:spacing w:after="0"/>
              <w:rPr>
                <w:sz w:val="20"/>
                <w:szCs w:val="20"/>
                <w:color w:val="auto"/>
              </w:rPr>
            </w:pPr>
            <w:r>
              <w:rPr>
                <w:rFonts w:ascii="Times New Roman" w:cs="Times New Roman" w:eastAsia="Times New Roman" w:hAnsi="Times New Roman"/>
                <w:sz w:val="16"/>
                <w:szCs w:val="16"/>
                <w:color w:val="auto"/>
              </w:rPr>
              <w:t>0.0%</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46"/>
        </w:trPr>
        <w:tc>
          <w:tcPr>
            <w:tcW w:w="2900" w:type="dxa"/>
            <w:vAlign w:val="bottom"/>
            <w:tcBorders>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6"/>
                <w:szCs w:val="16"/>
                <w:color w:val="auto"/>
              </w:rPr>
              <w:t>Fair value per share</w:t>
            </w:r>
          </w:p>
        </w:tc>
        <w:tc>
          <w:tcPr>
            <w:tcW w:w="2500" w:type="dxa"/>
            <w:vAlign w:val="bottom"/>
            <w:tcBorders>
              <w:bottom w:val="single" w:sz="8" w:color="C0E6F5"/>
            </w:tcBorders>
            <w:shd w:val="clear" w:color="auto" w:fill="C0E6F5"/>
          </w:tcPr>
          <w:p>
            <w:pPr>
              <w:jc w:val="right"/>
              <w:ind w:right="515"/>
              <w:spacing w:after="0"/>
              <w:rPr>
                <w:sz w:val="20"/>
                <w:szCs w:val="20"/>
                <w:color w:val="auto"/>
              </w:rPr>
            </w:pPr>
            <w:r>
              <w:rPr>
                <w:rFonts w:ascii="Times New Roman" w:cs="Times New Roman" w:eastAsia="Times New Roman" w:hAnsi="Times New Roman"/>
                <w:sz w:val="18"/>
                <w:szCs w:val="18"/>
                <w:color w:val="auto"/>
              </w:rPr>
              <w:t>$1.88</w:t>
            </w:r>
          </w:p>
        </w:tc>
        <w:tc>
          <w:tcPr>
            <w:tcW w:w="1960" w:type="dxa"/>
            <w:vAlign w:val="bottom"/>
            <w:tcBorders>
              <w:bottom w:val="single" w:sz="8" w:color="C0E6F5"/>
            </w:tcBorders>
            <w:shd w:val="clear" w:color="auto" w:fill="C0E6F5"/>
          </w:tcPr>
          <w:p>
            <w:pPr>
              <w:jc w:val="right"/>
              <w:ind w:right="695"/>
              <w:spacing w:after="0"/>
              <w:rPr>
                <w:sz w:val="20"/>
                <w:szCs w:val="20"/>
                <w:color w:val="auto"/>
              </w:rPr>
            </w:pPr>
            <w:r>
              <w:rPr>
                <w:rFonts w:ascii="Times New Roman" w:cs="Times New Roman" w:eastAsia="Times New Roman" w:hAnsi="Times New Roman"/>
                <w:sz w:val="18"/>
                <w:szCs w:val="18"/>
                <w:color w:val="auto"/>
              </w:rPr>
              <w:t>$1.88</w:t>
            </w:r>
          </w:p>
        </w:tc>
        <w:tc>
          <w:tcPr>
            <w:tcW w:w="13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shares</w:t>
            </w:r>
          </w:p>
        </w:tc>
        <w:tc>
          <w:tcPr>
            <w:tcW w:w="25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500,000</w:t>
            </w:r>
          </w:p>
        </w:tc>
        <w:tc>
          <w:tcPr>
            <w:tcW w:w="196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150,000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bl>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(4)</w:t>
      </w:r>
    </w:p>
    <w:p>
      <w:pPr>
        <w:jc w:val="both"/>
        <w:ind w:left="420" w:right="20"/>
        <w:spacing w:after="0" w:line="239" w:lineRule="auto"/>
        <w:rPr>
          <w:sz w:val="20"/>
          <w:szCs w:val="20"/>
          <w:color w:val="auto"/>
        </w:rPr>
      </w:pPr>
      <w:r>
        <w:rPr>
          <w:rFonts w:ascii="Times New Roman" w:cs="Times New Roman" w:eastAsia="Times New Roman" w:hAnsi="Times New Roman"/>
          <w:sz w:val="18"/>
          <w:szCs w:val="18"/>
          <w:color w:val="auto"/>
        </w:rPr>
        <w:t>The table below provides information regarding the stock option awards granted to our NEOs in Fiscal 2025, other than Ms. Cote and Mr. Tressler, neither of whom joined the Company until Fiscal 2026, and the assumptions used in the Black Scholes Option Pricing Model to determine the grant date fair values of the respective awards.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 Award Compensation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120" w:type="dxa"/>
            <w:vAlign w:val="bottom"/>
          </w:tcPr>
          <w:p>
            <w:pPr>
              <w:spacing w:after="0"/>
              <w:rPr>
                <w:sz w:val="18"/>
                <w:szCs w:val="18"/>
                <w:color w:val="auto"/>
              </w:rPr>
            </w:pPr>
          </w:p>
        </w:tc>
      </w:tr>
      <w:tr>
        <w:trPr>
          <w:trHeight w:val="243"/>
        </w:trPr>
        <w:tc>
          <w:tcPr>
            <w:tcW w:w="7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March 31, 2025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6/24/2024</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Mr. Singh</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500,000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Mr. Adler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left="775"/>
              <w:spacing w:after="0"/>
              <w:rPr>
                <w:sz w:val="20"/>
                <w:szCs w:val="20"/>
                <w:color w:val="auto"/>
              </w:rPr>
            </w:pPr>
            <w:r>
              <w:rPr>
                <w:rFonts w:ascii="Times New Roman" w:cs="Times New Roman" w:eastAsia="Times New Roman" w:hAnsi="Times New Roman"/>
                <w:sz w:val="18"/>
                <w:szCs w:val="18"/>
                <w:color w:val="auto"/>
                <w:w w:val="99"/>
              </w:rPr>
              <w:t>170,000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620" w:type="dxa"/>
            <w:vAlign w:val="bottom"/>
            <w:tcBorders>
              <w:bottom w:val="single" w:sz="8" w:color="CDEEFF"/>
            </w:tcBorders>
            <w:gridSpan w:val="2"/>
            <w:shd w:val="clear" w:color="auto" w:fill="CDEEFF"/>
          </w:tcPr>
          <w:p>
            <w:pPr>
              <w:ind w:left="20"/>
              <w:spacing w:after="0"/>
              <w:rPr>
                <w:sz w:val="20"/>
                <w:szCs w:val="20"/>
                <w:color w:val="auto"/>
              </w:rPr>
            </w:pPr>
            <w:r>
              <w:rPr>
                <w:rFonts w:ascii="Times New Roman" w:cs="Times New Roman" w:eastAsia="Times New Roman" w:hAnsi="Times New Roman"/>
                <w:sz w:val="16"/>
                <w:szCs w:val="16"/>
                <w:color w:val="auto"/>
              </w:rPr>
              <w:t>Mr. Prince</w:t>
            </w:r>
          </w:p>
        </w:tc>
        <w:tc>
          <w:tcPr>
            <w:tcW w:w="100" w:type="dxa"/>
            <w:vAlign w:val="bottom"/>
            <w:tcBorders>
              <w:bottom w:val="single" w:sz="8" w:color="CDEEFF"/>
            </w:tcBorders>
            <w:shd w:val="clear" w:color="auto" w:fill="CDEEFF"/>
          </w:tcPr>
          <w:p>
            <w:pPr>
              <w:spacing w:after="0"/>
              <w:rPr>
                <w:sz w:val="20"/>
                <w:szCs w:val="20"/>
                <w:color w:val="auto"/>
              </w:rPr>
            </w:pPr>
          </w:p>
        </w:tc>
        <w:tc>
          <w:tcPr>
            <w:tcW w:w="20" w:type="dxa"/>
            <w:vAlign w:val="bottom"/>
            <w:tcBorders>
              <w:bottom w:val="single" w:sz="8" w:color="CDEEFF"/>
            </w:tcBorders>
            <w:shd w:val="clear" w:color="auto" w:fill="CDEEFF"/>
          </w:tcPr>
          <w:p>
            <w:pPr>
              <w:spacing w:after="0"/>
              <w:rPr>
                <w:sz w:val="20"/>
                <w:szCs w:val="20"/>
                <w:color w:val="auto"/>
              </w:rPr>
            </w:pPr>
          </w:p>
        </w:tc>
        <w:tc>
          <w:tcPr>
            <w:tcW w:w="200" w:type="dxa"/>
            <w:vAlign w:val="bottom"/>
            <w:tcBorders>
              <w:bottom w:val="single" w:sz="8" w:color="CDEEFF"/>
            </w:tcBorders>
            <w:shd w:val="clear" w:color="auto" w:fill="CDEEFF"/>
          </w:tcPr>
          <w:p>
            <w:pPr>
              <w:spacing w:after="0"/>
              <w:rPr>
                <w:sz w:val="20"/>
                <w:szCs w:val="20"/>
                <w:color w:val="auto"/>
              </w:rPr>
            </w:pPr>
          </w:p>
        </w:tc>
        <w:tc>
          <w:tcPr>
            <w:tcW w:w="1480" w:type="dxa"/>
            <w:vAlign w:val="bottom"/>
            <w:tcBorders>
              <w:bottom w:val="single" w:sz="8" w:color="CDEEFF"/>
            </w:tcBorders>
            <w:gridSpan w:val="2"/>
            <w:shd w:val="clear" w:color="auto" w:fill="CD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150,000</w:t>
            </w:r>
          </w:p>
        </w:tc>
        <w:tc>
          <w:tcPr>
            <w:tcW w:w="140" w:type="dxa"/>
            <w:vAlign w:val="bottom"/>
            <w:tcBorders>
              <w:bottom w:val="single" w:sz="8" w:color="CDEEFF"/>
            </w:tcBorders>
            <w:shd w:val="clear" w:color="auto" w:fill="CDEEFF"/>
          </w:tcPr>
          <w:p>
            <w:pPr>
              <w:spacing w:after="0"/>
              <w:rPr>
                <w:sz w:val="20"/>
                <w:szCs w:val="20"/>
                <w:color w:val="auto"/>
              </w:rPr>
            </w:pPr>
          </w:p>
        </w:tc>
        <w:tc>
          <w:tcPr>
            <w:tcW w:w="120" w:type="dxa"/>
            <w:vAlign w:val="bottom"/>
          </w:tcPr>
          <w:p>
            <w:pPr>
              <w:spacing w:after="0"/>
              <w:rPr>
                <w:sz w:val="20"/>
                <w:szCs w:val="20"/>
                <w:color w:val="auto"/>
              </w:rPr>
            </w:pPr>
          </w:p>
        </w:tc>
      </w:tr>
      <w:tr>
        <w:trPr>
          <w:trHeight w:val="33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 Award Compensation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120" w:type="dxa"/>
            <w:vAlign w:val="bottom"/>
          </w:tcPr>
          <w:p>
            <w:pPr>
              <w:spacing w:after="0"/>
              <w:rPr>
                <w:sz w:val="24"/>
                <w:szCs w:val="24"/>
                <w:color w:val="auto"/>
              </w:rPr>
            </w:pPr>
          </w:p>
        </w:tc>
      </w:tr>
      <w:tr>
        <w:trPr>
          <w:trHeight w:val="24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March 31, 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6/24/2024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76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Mr. Singh</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1,551,432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Mr. Adler</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52,735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620" w:type="dxa"/>
            <w:vAlign w:val="bottom"/>
            <w:tcBorders>
              <w:bottom w:val="single" w:sz="8" w:color="CDEEFF"/>
            </w:tcBorders>
            <w:gridSpan w:val="2"/>
            <w:shd w:val="clear" w:color="auto" w:fill="CDEEFF"/>
          </w:tcPr>
          <w:p>
            <w:pPr>
              <w:ind w:left="20"/>
              <w:spacing w:after="0"/>
              <w:rPr>
                <w:sz w:val="20"/>
                <w:szCs w:val="20"/>
                <w:color w:val="auto"/>
              </w:rPr>
            </w:pPr>
            <w:r>
              <w:rPr>
                <w:rFonts w:ascii="Times New Roman" w:cs="Times New Roman" w:eastAsia="Times New Roman" w:hAnsi="Times New Roman"/>
                <w:sz w:val="16"/>
                <w:szCs w:val="16"/>
                <w:color w:val="auto"/>
              </w:rPr>
              <w:t>Mr. Prince</w:t>
            </w:r>
          </w:p>
        </w:tc>
        <w:tc>
          <w:tcPr>
            <w:tcW w:w="320" w:type="dxa"/>
            <w:vAlign w:val="bottom"/>
            <w:tcBorders>
              <w:bottom w:val="single" w:sz="8" w:color="CDEEFF"/>
            </w:tcBorders>
            <w:gridSpan w:val="3"/>
            <w:shd w:val="clear" w:color="auto" w:fill="CD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DEEFF"/>
            </w:tcBorders>
            <w:gridSpan w:val="2"/>
            <w:shd w:val="clear" w:color="auto" w:fill="CDEEFF"/>
          </w:tcPr>
          <w:p>
            <w:pPr>
              <w:jc w:val="right"/>
              <w:ind w:right="80"/>
              <w:spacing w:after="0"/>
              <w:rPr>
                <w:sz w:val="20"/>
                <w:szCs w:val="20"/>
                <w:color w:val="auto"/>
              </w:rPr>
            </w:pPr>
            <w:r>
              <w:rPr>
                <w:rFonts w:ascii="Times New Roman" w:cs="Times New Roman" w:eastAsia="Times New Roman" w:hAnsi="Times New Roman"/>
                <w:sz w:val="18"/>
                <w:szCs w:val="18"/>
                <w:color w:val="auto"/>
              </w:rPr>
              <w:t>46,523</w:t>
            </w:r>
          </w:p>
        </w:tc>
        <w:tc>
          <w:tcPr>
            <w:tcW w:w="140" w:type="dxa"/>
            <w:vAlign w:val="bottom"/>
            <w:tcBorders>
              <w:bottom w:val="single" w:sz="8" w:color="CDEEFF"/>
            </w:tcBorders>
            <w:shd w:val="clear" w:color="auto" w:fill="CDEEFF"/>
          </w:tcPr>
          <w:p>
            <w:pPr>
              <w:spacing w:after="0"/>
              <w:rPr>
                <w:sz w:val="20"/>
                <w:szCs w:val="20"/>
                <w:color w:val="auto"/>
              </w:rPr>
            </w:pPr>
          </w:p>
        </w:tc>
        <w:tc>
          <w:tcPr>
            <w:tcW w:w="120" w:type="dxa"/>
            <w:vAlign w:val="bottom"/>
          </w:tcPr>
          <w:p>
            <w:pPr>
              <w:spacing w:after="0"/>
              <w:rPr>
                <w:sz w:val="20"/>
                <w:szCs w:val="20"/>
                <w:color w:val="auto"/>
              </w:rPr>
            </w:pPr>
          </w:p>
        </w:tc>
      </w:tr>
      <w:tr>
        <w:trPr>
          <w:trHeight w:val="34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Option Award Assumptions </w:t>
            </w: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120" w:type="dxa"/>
            <w:vAlign w:val="bottom"/>
          </w:tcPr>
          <w:p>
            <w:pPr>
              <w:spacing w:after="0"/>
              <w:rPr>
                <w:sz w:val="24"/>
                <w:szCs w:val="24"/>
                <w:color w:val="auto"/>
              </w:rPr>
            </w:pPr>
          </w:p>
        </w:tc>
      </w:tr>
      <w:tr>
        <w:trPr>
          <w:trHeight w:val="243"/>
        </w:trPr>
        <w:tc>
          <w:tcPr>
            <w:tcW w:w="7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March 31, 2025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6/24/2024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r>
      <w:tr>
        <w:trPr>
          <w:trHeight w:val="237"/>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price per share</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price per share</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ind w:left="855"/>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
        </w:trPr>
        <w:tc>
          <w:tcPr>
            <w:tcW w:w="7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4.22 %</w:t>
            </w:r>
          </w:p>
        </w:tc>
        <w:tc>
          <w:tcPr>
            <w:tcW w:w="120" w:type="dxa"/>
            <w:vAlign w:val="bottom"/>
            <w:shd w:val="clear" w:color="auto" w:fill="CCEEFF"/>
          </w:tcPr>
          <w:p>
            <w:pPr>
              <w:spacing w:after="0"/>
              <w:rPr>
                <w:sz w:val="19"/>
                <w:szCs w:val="19"/>
                <w:color w:val="auto"/>
              </w:rPr>
            </w:pPr>
          </w:p>
        </w:tc>
      </w:tr>
      <w:tr>
        <w:trPr>
          <w:trHeight w:val="22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167.17 %</w:t>
            </w:r>
          </w:p>
        </w:tc>
        <w:tc>
          <w:tcPr>
            <w:tcW w:w="120" w:type="dxa"/>
            <w:vAlign w:val="bottom"/>
          </w:tcPr>
          <w:p>
            <w:pPr>
              <w:spacing w:after="0"/>
              <w:rPr>
                <w:sz w:val="19"/>
                <w:szCs w:val="19"/>
                <w:color w:val="auto"/>
              </w:rPr>
            </w:pPr>
          </w:p>
        </w:tc>
      </w:tr>
      <w:tr>
        <w:trPr>
          <w:trHeight w:val="23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2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 rate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9"/>
                <w:szCs w:val="19"/>
                <w:color w:val="auto"/>
              </w:rPr>
            </w:pPr>
          </w:p>
        </w:tc>
      </w:tr>
      <w:tr>
        <w:trPr>
          <w:trHeight w:val="246"/>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per share</w:t>
            </w:r>
          </w:p>
        </w:tc>
        <w:tc>
          <w:tcPr>
            <w:tcW w:w="3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1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Aggregate shares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127" w:lineRule="exact"/>
        <w:rPr>
          <w:sz w:val="20"/>
          <w:szCs w:val="20"/>
          <w:color w:val="auto"/>
        </w:rPr>
      </w:pPr>
    </w:p>
    <w:p>
      <w:pPr>
        <w:ind w:left="420" w:right="20"/>
        <w:spacing w:after="0" w:line="280" w:lineRule="auto"/>
        <w:rPr>
          <w:sz w:val="20"/>
          <w:szCs w:val="20"/>
          <w:color w:val="auto"/>
        </w:rPr>
      </w:pPr>
      <w:r>
        <w:rPr>
          <w:rFonts w:ascii="Times New Roman" w:cs="Times New Roman" w:eastAsia="Times New Roman" w:hAnsi="Times New Roman"/>
          <w:sz w:val="16"/>
          <w:szCs w:val="16"/>
          <w:color w:val="auto"/>
        </w:rPr>
        <w:t>Ms. Cote was appointed to serve as the Company’s Chief Corporate Development Officer in June 2025 and Mr. Tressler was appointed to serve as the Company’s Chief Financial Officer and Treasurer in December 2025. As such, base salary to Ms. Cote and Mr. Tressler is for services rendered during a portion of Fiscal 2026.</w:t>
      </w:r>
    </w:p>
    <w:p>
      <w:pPr>
        <w:spacing w:after="0" w:line="57" w:lineRule="exact"/>
        <w:rPr>
          <w:sz w:val="20"/>
          <w:szCs w:val="20"/>
          <w:color w:val="auto"/>
        </w:rPr>
      </w:pPr>
    </w:p>
    <w:p>
      <w:pPr>
        <w:ind w:left="420" w:hanging="394"/>
        <w:spacing w:after="0"/>
        <w:tabs>
          <w:tab w:leader="none" w:pos="420" w:val="left"/>
        </w:tabs>
        <w:numPr>
          <w:ilvl w:val="0"/>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Reflects consulting fees paid to Mr. Tressler during the year ended March 31, 2026 prior to his appointment as Chief Financial Officer.</w:t>
      </w:r>
    </w:p>
    <w:p>
      <w:pPr>
        <w:spacing w:after="0" w:line="106" w:lineRule="exact"/>
        <w:rPr>
          <w:rFonts w:ascii="Times New Roman" w:cs="Times New Roman" w:eastAsia="Times New Roman" w:hAnsi="Times New Roman"/>
          <w:sz w:val="23"/>
          <w:szCs w:val="23"/>
          <w:color w:val="auto"/>
          <w:vertAlign w:val="superscript"/>
        </w:rPr>
      </w:pPr>
    </w:p>
    <w:p>
      <w:pPr>
        <w:ind w:left="420" w:hanging="394"/>
        <w:spacing w:after="0"/>
        <w:tabs>
          <w:tab w:leader="none" w:pos="420" w:val="left"/>
        </w:tabs>
        <w:numPr>
          <w:ilvl w:val="0"/>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consulting fees paid to Ms. Cote during the year ended March 31, 2026 prior to her appointment as Chief Corporate Development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Fiscal 2026 Named Executive Officers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NEOs for the fiscal year ended March 31, 2026, consisted of our principal executive officer, our principal financial officer and our three other executive officers. Our NEOs for Fiscal 2026 were:</w:t>
      </w:r>
    </w:p>
    <w:p>
      <w:pPr>
        <w:spacing w:after="0" w:line="243" w:lineRule="exact"/>
        <w:rPr>
          <w:sz w:val="20"/>
          <w:szCs w:val="20"/>
          <w:color w:val="auto"/>
        </w:rPr>
      </w:pPr>
    </w:p>
    <w:p>
      <w:pPr>
        <w:ind w:left="1180" w:hanging="398"/>
        <w:spacing w:after="0"/>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Shawn K. Singh, J.D., our President, Chief Executive Officer and member of our Board;</w:t>
      </w:r>
    </w:p>
    <w:p>
      <w:pPr>
        <w:spacing w:after="0" w:line="171"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Nick B. Tressler, MBA, our Chief Financial Officer and Treasurer;</w:t>
      </w:r>
    </w:p>
    <w:p>
      <w:pPr>
        <w:spacing w:after="0" w:line="157"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Reid G. Adler, J.D., our Chief Legal Officer;</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136" w:name="page137"/>
    <w:bookmarkEnd w:id="136"/>
    <w:p>
      <w:pPr>
        <w:ind w:left="1180" w:hanging="398"/>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Elissa S. Cote, our Chief Corporate Development Officer; and</w:t>
      </w:r>
    </w:p>
    <w:p>
      <w:pPr>
        <w:spacing w:after="0" w:line="171"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Joshua S. Prince, MBA, our Chief Operating Officer.</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Philosophy</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compensation philosophy is designed to attract, retain, motivate and reward our NEOs for their performance and contribution to our operations and long-term success. Our Board, through the Compensation Committee, seeks to compensate our executive officers by a mix of cash that is awarded upon achievement of corporate-wide and, to a lesser extent, individual performance objectives, and retention-focused equity incentives, in order to align our NEOs’ incentives with opportunities for stockholder value creation.</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Compensation Committee makes decisions regarding salaries, annual cash bonus payments, if any, and equity incentive compensation, if any, for our NEOs, and approves the compensation philosophy for our NEOs, which includes target payouts for the achievement of pre-determined corporate-wide goals and objectives. The Compensation Committee solicits input from our executive compensation consultant regarding the compensation of our NEOs, as well as from our Chief Executive Officer regarding the performance of our non-NEO executive officers. Finally, the Compensation Committee also administers our incentive compensation and benefit plans, including the Amended and Restated 2019 Omnibus Equity Incentive Plan, as amended (2019 Plan) and the 2019 Employee Stock Purchase Plan, as amended (2019 ESPP).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Components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general rule, and when possible and appropriate, taking into account the Company’s financial condition and other related facts and circumstances, our compensation consists primarily of three elements: base salary, annual cash bonus, and long-term equity incentives consisting of stock option grants. We describe each element of compensation in more detail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Base salaries for our NEOs are established based on the scope of their responsibilities and their prior relevant experience, taking into account competitive market compensation paid by companies in our peer group for similar positions and the overall market demand for such executives, both initially at the time of hire and thereafter, to ensure that we retain our executive management team. A NEO’s base salary is also determined by reviewing the executive officer’s other compensation to ensure that the executive officer’s total compensation is in line with our overall compensation philosophy and peer group-based input from our compensation consultant.</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Base salaries are reviewed periodically as deemed necessary by the Compensation Committee and increased for merit reasons, based on a NEO’s or other executive officer’s success in meeting or exceeding individual objectives. Additionally, we may adjust base salaries as warranted throughout the year for promotions or other changes in the scope or breadth of a NEO’s or other executive officer’s role or responsibilities. For Fiscal 2025, the Compensation Committee adjusted Mr. Prince's base salary to align with our overall compensation philosophy and certain peer group-based input. During Fiscal 2026, the Compensation Committee did not approve any adjustment to the base salaries for the reasons explained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Using our compensation philosophy as a guide, the Compensation Committee assesses each NEO’s contribution to achieving our corporate-wide goals and overall corporate performance for the applicable year when considering annual discretionary cash bonus payments. Payment of any cash bonus is determined in the sole discretion of our Compensation Committee. Should the Compensation Committee approve of any annual cash bonus payments, the amount of the cash bonus depends on the level of achievement of corporate and/or individual performance goals, with a target bonus generally set as a percentage of base salary. Currently, at the discretion of our Compensation Committee, our CEO is eligible to receive an annual cash bonus of up to 50% of his base salary and each of our other NEOs is eligible to receive annual cash bonuses of up to 45% of their base salary.</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Fiscal 2026</w:t>
      </w:r>
      <w:r>
        <w:rPr>
          <w:rFonts w:ascii="Times New Roman" w:cs="Times New Roman" w:eastAsia="Times New Roman" w:hAnsi="Times New Roman"/>
          <w:sz w:val="18"/>
          <w:szCs w:val="18"/>
          <w:color w:val="auto"/>
        </w:rPr>
        <w:t>. For Fiscal 2026, following the December 2025 announcement that the PALISADE-3 clinical trial, the Company’s Phase 3 clinical trial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fasedienol, our most advanced pherine product candidate in development for the acute treatment of social anxiety disorder, did not achieve its primary or secondary endpoints, at the request of our President and Chief Executive Officer, the Board elected to forego any performance-based compensation including annual bonuses or salary increases. The Board did, however, approve retention bonus payments for Mr. Tressler, Ms. Cote and Mr. Prince that will be payable, in part, following the completion of the Company’s PALISADE-4 Phase 3 clinical trial (the Retention Bonuses). To preserve cash for operations, Mr. Singh and Mr. Adler voluntarily declined the receipt of a Retention Bonus.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37" w:name="page138"/>
    <w:bookmarkEnd w:id="137"/>
    <w:p>
      <w:pPr>
        <w:jc w:val="both"/>
        <w:spacing w:after="0" w:line="250" w:lineRule="auto"/>
        <w:rPr>
          <w:sz w:val="20"/>
          <w:szCs w:val="20"/>
          <w:color w:val="auto"/>
        </w:rPr>
      </w:pPr>
      <w:r>
        <w:rPr>
          <w:rFonts w:ascii="Times New Roman" w:cs="Times New Roman" w:eastAsia="Times New Roman" w:hAnsi="Times New Roman"/>
          <w:sz w:val="18"/>
          <w:szCs w:val="18"/>
          <w:color w:val="auto"/>
        </w:rPr>
        <w:t>We expect to announce topline results from the randomized portion of PALISADE-4 by the end of the second calendar quarter of 2026. As such, the amounts of the Retention Bonuses paid to certain of our named executive officers (Mr. Tressler, Ms. Cote and Mr. Prince) for the fiscal year ending March 31, 2027 will be reported in the Summary Compensation Table for that period.</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Fiscal 2025</w:t>
      </w:r>
      <w:r>
        <w:rPr>
          <w:rFonts w:ascii="Times New Roman" w:cs="Times New Roman" w:eastAsia="Times New Roman" w:hAnsi="Times New Roman"/>
          <w:sz w:val="18"/>
          <w:szCs w:val="18"/>
          <w:color w:val="auto"/>
        </w:rPr>
        <w:t>. For Fiscal 2025, our Compensation Committee determined that the Company continued to advance the development of five clinical-stage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intranasal pherine product candidates, including fasedienol. The following milestones achieved by the Company during Fiscal 2025 were considered by the Compensation Committee when determining the appropriate payout of discretionary cash bonuses for our NEOs:</w:t>
      </w:r>
    </w:p>
    <w:p>
      <w:pPr>
        <w:spacing w:after="0" w:line="257" w:lineRule="exact"/>
        <w:rPr>
          <w:sz w:val="20"/>
          <w:szCs w:val="20"/>
          <w:color w:val="auto"/>
        </w:rPr>
      </w:pPr>
    </w:p>
    <w:p>
      <w:pPr>
        <w:ind w:left="1260" w:hanging="411"/>
        <w:spacing w:after="0"/>
        <w:tabs>
          <w:tab w:leader="none" w:pos="1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 of the PALISADE-3 Phase 3 trial of fasedienol;</w:t>
      </w:r>
    </w:p>
    <w:p>
      <w:pPr>
        <w:spacing w:after="0" w:line="157" w:lineRule="exact"/>
        <w:rPr>
          <w:rFonts w:ascii="Times New Roman" w:cs="Times New Roman" w:eastAsia="Times New Roman" w:hAnsi="Times New Roman"/>
          <w:sz w:val="18"/>
          <w:szCs w:val="18"/>
          <w:color w:val="auto"/>
        </w:rPr>
      </w:pPr>
    </w:p>
    <w:p>
      <w:pPr>
        <w:ind w:left="1260" w:right="1360" w:hanging="411"/>
        <w:spacing w:after="0" w:line="296" w:lineRule="auto"/>
        <w:tabs>
          <w:tab w:leader="none" w:pos="12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of the remaining key components of the Company’s U.S. registration-directed PALISADE Program, including initiating both the PALISADE-4 Phase 3 trial and the Repeat Dose Study, and other nonclinical studies for fasedienol;</w:t>
      </w:r>
    </w:p>
    <w:p>
      <w:pPr>
        <w:spacing w:after="0" w:line="98" w:lineRule="exact"/>
        <w:rPr>
          <w:rFonts w:ascii="Times New Roman" w:cs="Times New Roman" w:eastAsia="Times New Roman" w:hAnsi="Times New Roman"/>
          <w:sz w:val="17"/>
          <w:szCs w:val="17"/>
          <w:color w:val="auto"/>
        </w:rPr>
      </w:pPr>
    </w:p>
    <w:p>
      <w:pPr>
        <w:ind w:left="1260" w:right="960" w:hanging="411"/>
        <w:spacing w:after="0" w:line="250" w:lineRule="auto"/>
        <w:tabs>
          <w:tab w:leader="none" w:pos="1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 of certain elements of the U.S. Investigational New Drug (IND)-enabling programs to facilitate additional potential Phase 2 development of itruvone for major depressive disorder and PH80 (refisolone) for vasomotor symptoms (hot flashes) due to menopause; and</w:t>
      </w:r>
    </w:p>
    <w:p>
      <w:pPr>
        <w:spacing w:after="0" w:line="136" w:lineRule="exact"/>
        <w:rPr>
          <w:rFonts w:ascii="Times New Roman" w:cs="Times New Roman" w:eastAsia="Times New Roman" w:hAnsi="Times New Roman"/>
          <w:sz w:val="18"/>
          <w:szCs w:val="18"/>
          <w:color w:val="auto"/>
        </w:rPr>
      </w:pPr>
    </w:p>
    <w:p>
      <w:pPr>
        <w:ind w:left="1260" w:hanging="411"/>
        <w:spacing w:after="0"/>
        <w:tabs>
          <w:tab w:leader="none" w:pos="1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corporate expenses and other general and administrative goals.</w:t>
      </w:r>
    </w:p>
    <w:p>
      <w:pPr>
        <w:spacing w:after="0" w:line="3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Compensation Committee also determined that the Company was not able to fully achieve certain of the corporate goals set for Fiscal 2025 due to certain unforeseen delays in development programs for product candidates other than fasedienol and other factors beyond the Company’s control. As such, the Compensation Committee determined that the Company achieved an aggregate total of 85% of its Fiscal 2025 corporate goals.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NEOs other than Mr. Singh, the Compensation Committee considered achievement of certain individual performance goals alongside the Fiscal 2025 corporate goals, resulting in the awarding of 100% of the respective discretionary cash bonus opportunities to Mr. Adler and Mr. Prince. For Mr. Singh, the Compensation Committee customarily aligned the payment of Mr. Singh’s discretionary cash bonus solely with the Company's achievement of the Fiscal 2025 corporate goals, resulting in the payment of 85% of his annual discretionary cash bonus.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Compensation Committee believes that to attract, retain and motivate management, employees and independent directors, the compensation paid to these persons should include non-cash equity-based compensation that is competitive with peer companies. The Compensation Committee, in consultation with our overall compensation philosophy and peer group-based input from our compensation consultant, determines the amount and terms of equity-based compensation granted to our NEOs, employees and non-employee directors. Any long-term equity compensation granted to our NEOs, employees and non-employee directors does not represent cash payments made to such individuals, and there is no guarantee that any recipients of equity awards granted as long-term equity compensation will realize any cash value as a result of the equity awards.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Historically, our Compensation Committee has approved the issuance of stock options as long-term equity incentives designed to retain and motivate our NEOs and employees. As such, stock options granted to our NEOs and other employees, other than stock options granted in connection with new hires, during Fiscal 2026 and Fiscal 2025 have a term of ten years, an exercise price that was at least 100% of the market price of our common stock on the grant date and a three-year vesting schedule that begins one-year after the grant date.</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Subsequent to the end of Fiscal 2026, our Compensation Committee awarded near-term retention awards in the form of stock options to all Company employees, including our NEOs, with a shorter vesting schedule than long-term equity awards granted in prior years. These stock option awards have a term of ten years, an exercise price that was at least 100% of the market price of our common stock on the grant date and a two-year vesting schedule that begins six months after the grant date. The grant date fair value of these stock option awards granted to our named executive officers for the fiscal year ending March 31, 2027 will be reported in the Summary Compensation Table for that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March 31, 2026</w:t>
      </w:r>
    </w:p>
    <w:p>
      <w:pPr>
        <w:spacing w:after="0" w:line="24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each of our Fiscal 2026 NEOs as of March 31, 2026, consisting exclusively of stock options.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8" w:name="page139"/>
    <w:bookmarkEnd w:id="138"/>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Stock Options at March 31, 2026</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16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16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Underlying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 Exercisable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Unexercised Options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3980" w:type="dxa"/>
            <w:vAlign w:val="bottom"/>
            <w:gridSpan w:val="2"/>
            <w:vMerge w:val="continue"/>
          </w:tcPr>
          <w:p>
            <w:pPr>
              <w:spacing w:after="0"/>
              <w:rPr>
                <w:sz w:val="21"/>
                <w:szCs w:val="21"/>
                <w:color w:val="auto"/>
              </w:rPr>
            </w:pPr>
          </w:p>
        </w:tc>
        <w:tc>
          <w:tcPr>
            <w:tcW w:w="1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Unexerciable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Borders>
              <w:top w:val="single" w:sz="8" w:color="auto"/>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Shawn K. Singh, J.D.</w:t>
            </w:r>
          </w:p>
        </w:tc>
        <w:tc>
          <w:tcPr>
            <w:tcW w:w="280" w:type="dxa"/>
            <w:vAlign w:val="bottom"/>
            <w:tcBorders>
              <w:top w:val="single" w:sz="8" w:color="C0E6F5"/>
              <w:bottom w:val="single" w:sz="8" w:color="C0E6F5"/>
            </w:tcBorders>
            <w:shd w:val="clear" w:color="auto" w:fill="C0E6F5"/>
          </w:tcPr>
          <w:p>
            <w:pPr>
              <w:spacing w:after="0"/>
              <w:rPr>
                <w:sz w:val="20"/>
                <w:szCs w:val="20"/>
                <w:color w:val="auto"/>
              </w:rPr>
            </w:pPr>
          </w:p>
        </w:tc>
        <w:tc>
          <w:tcPr>
            <w:tcW w:w="1820" w:type="dxa"/>
            <w:vAlign w:val="bottom"/>
            <w:tcBorders>
              <w:top w:val="single" w:sz="8" w:color="auto"/>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360" w:type="dxa"/>
            <w:vAlign w:val="bottom"/>
            <w:tcBorders>
              <w:top w:val="single" w:sz="8" w:color="C0E6F5"/>
              <w:bottom w:val="single" w:sz="8" w:color="C0E6F5"/>
            </w:tcBorders>
            <w:shd w:val="clear" w:color="auto" w:fill="C0E6F5"/>
          </w:tcPr>
          <w:p>
            <w:pPr>
              <w:spacing w:after="0"/>
              <w:rPr>
                <w:sz w:val="20"/>
                <w:szCs w:val="20"/>
                <w:color w:val="auto"/>
              </w:rPr>
            </w:pPr>
          </w:p>
        </w:tc>
        <w:tc>
          <w:tcPr>
            <w:tcW w:w="1660" w:type="dxa"/>
            <w:vAlign w:val="bottom"/>
            <w:tcBorders>
              <w:top w:val="single" w:sz="8" w:color="auto"/>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0E6F5"/>
              <w:bottom w:val="single" w:sz="8" w:color="C0E6F5"/>
            </w:tcBorders>
            <w:shd w:val="clear" w:color="auto" w:fill="C0E6F5"/>
          </w:tcPr>
          <w:p>
            <w:pPr>
              <w:spacing w:after="0"/>
              <w:rPr>
                <w:sz w:val="20"/>
                <w:szCs w:val="20"/>
                <w:color w:val="auto"/>
              </w:rPr>
            </w:pPr>
          </w:p>
        </w:tc>
        <w:tc>
          <w:tcPr>
            <w:tcW w:w="120" w:type="dxa"/>
            <w:vAlign w:val="bottom"/>
            <w:tcBorders>
              <w:top w:val="single" w:sz="8" w:color="auto"/>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40" w:type="dxa"/>
            <w:vAlign w:val="bottom"/>
            <w:tcBorders>
              <w:top w:val="single" w:sz="8" w:color="C0E6F5"/>
              <w:bottom w:val="single" w:sz="8" w:color="C0E6F5"/>
            </w:tcBorders>
            <w:shd w:val="clear" w:color="auto" w:fill="C0E6F5"/>
          </w:tcPr>
          <w:p>
            <w:pPr>
              <w:spacing w:after="0"/>
              <w:rPr>
                <w:sz w:val="20"/>
                <w:szCs w:val="20"/>
                <w:color w:val="auto"/>
              </w:rPr>
            </w:pPr>
          </w:p>
        </w:tc>
        <w:tc>
          <w:tcPr>
            <w:tcW w:w="1320" w:type="dxa"/>
            <w:vAlign w:val="bottom"/>
            <w:tcBorders>
              <w:top w:val="single" w:sz="8" w:color="auto"/>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6/19/26</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tcBorders>
              <w:bottom w:val="single" w:sz="8" w:color="C0E6F5"/>
            </w:tcBorders>
            <w:shd w:val="clear" w:color="auto" w:fill="C0E6F5"/>
          </w:tcPr>
          <w:p>
            <w:pPr>
              <w:spacing w:after="0"/>
              <w:rPr>
                <w:sz w:val="20"/>
                <w:szCs w:val="20"/>
                <w:color w:val="auto"/>
              </w:rPr>
            </w:pPr>
          </w:p>
        </w:tc>
        <w:tc>
          <w:tcPr>
            <w:tcW w:w="280" w:type="dxa"/>
            <w:vAlign w:val="bottom"/>
            <w:tcBorders>
              <w:bottom w:val="single" w:sz="8" w:color="C0E6F5"/>
            </w:tcBorders>
            <w:shd w:val="clear" w:color="auto" w:fill="C0E6F5"/>
          </w:tcPr>
          <w:p>
            <w:pPr>
              <w:spacing w:after="0"/>
              <w:rPr>
                <w:sz w:val="20"/>
                <w:szCs w:val="20"/>
                <w:color w:val="auto"/>
              </w:rPr>
            </w:pPr>
          </w:p>
        </w:tc>
        <w:tc>
          <w:tcPr>
            <w:tcW w:w="18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360" w:type="dxa"/>
            <w:vAlign w:val="bottom"/>
            <w:tcBorders>
              <w:bottom w:val="single" w:sz="8" w:color="C0E6F5"/>
            </w:tcBorders>
            <w:shd w:val="clear" w:color="auto" w:fill="C0E6F5"/>
          </w:tcPr>
          <w:p>
            <w:pPr>
              <w:spacing w:after="0"/>
              <w:rPr>
                <w:sz w:val="20"/>
                <w:szCs w:val="20"/>
                <w:color w:val="auto"/>
              </w:rPr>
            </w:pPr>
          </w:p>
        </w:tc>
        <w:tc>
          <w:tcPr>
            <w:tcW w:w="16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0E6F5"/>
            </w:tcBorders>
            <w:shd w:val="clear" w:color="auto" w:fill="C0E6F5"/>
          </w:tcPr>
          <w:p>
            <w:pPr>
              <w:spacing w:after="0"/>
              <w:rPr>
                <w:sz w:val="20"/>
                <w:szCs w:val="20"/>
                <w:color w:val="auto"/>
              </w:rPr>
            </w:pPr>
          </w:p>
        </w:tc>
        <w:tc>
          <w:tcPr>
            <w:tcW w:w="1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40" w:type="dxa"/>
            <w:vAlign w:val="bottom"/>
            <w:tcBorders>
              <w:bottom w:val="single" w:sz="8" w:color="C0E6F5"/>
            </w:tcBorders>
            <w:shd w:val="clear" w:color="auto" w:fill="C0E6F5"/>
          </w:tcPr>
          <w:p>
            <w:pPr>
              <w:spacing w:after="0"/>
              <w:rPr>
                <w:sz w:val="20"/>
                <w:szCs w:val="20"/>
                <w:color w:val="auto"/>
              </w:rPr>
            </w:pPr>
          </w:p>
        </w:tc>
        <w:tc>
          <w:tcPr>
            <w:tcW w:w="13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4/26/27</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9/19/27</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tcBorders>
              <w:bottom w:val="single" w:sz="8" w:color="C0E6F5"/>
            </w:tcBorders>
            <w:shd w:val="clear" w:color="auto" w:fill="C0E6F5"/>
          </w:tcPr>
          <w:p>
            <w:pPr>
              <w:spacing w:after="0"/>
              <w:rPr>
                <w:sz w:val="20"/>
                <w:szCs w:val="20"/>
                <w:color w:val="auto"/>
              </w:rPr>
            </w:pPr>
          </w:p>
        </w:tc>
        <w:tc>
          <w:tcPr>
            <w:tcW w:w="280" w:type="dxa"/>
            <w:vAlign w:val="bottom"/>
            <w:tcBorders>
              <w:bottom w:val="single" w:sz="8" w:color="C0E6F5"/>
            </w:tcBorders>
            <w:shd w:val="clear" w:color="auto" w:fill="C0E6F5"/>
          </w:tcPr>
          <w:p>
            <w:pPr>
              <w:spacing w:after="0"/>
              <w:rPr>
                <w:sz w:val="20"/>
                <w:szCs w:val="20"/>
                <w:color w:val="auto"/>
              </w:rPr>
            </w:pPr>
          </w:p>
        </w:tc>
        <w:tc>
          <w:tcPr>
            <w:tcW w:w="18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Borders>
              <w:bottom w:val="single" w:sz="8" w:color="C0E6F5"/>
            </w:tcBorders>
            <w:shd w:val="clear" w:color="auto" w:fill="C0E6F5"/>
          </w:tcPr>
          <w:p>
            <w:pPr>
              <w:spacing w:after="0"/>
              <w:rPr>
                <w:sz w:val="20"/>
                <w:szCs w:val="20"/>
                <w:color w:val="auto"/>
              </w:rPr>
            </w:pPr>
          </w:p>
        </w:tc>
        <w:tc>
          <w:tcPr>
            <w:tcW w:w="16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0E6F5"/>
            </w:tcBorders>
            <w:shd w:val="clear" w:color="auto" w:fill="C0E6F5"/>
          </w:tcPr>
          <w:p>
            <w:pPr>
              <w:spacing w:after="0"/>
              <w:rPr>
                <w:sz w:val="20"/>
                <w:szCs w:val="20"/>
                <w:color w:val="auto"/>
              </w:rPr>
            </w:pPr>
          </w:p>
        </w:tc>
        <w:tc>
          <w:tcPr>
            <w:tcW w:w="1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340" w:type="dxa"/>
            <w:vAlign w:val="bottom"/>
            <w:tcBorders>
              <w:bottom w:val="single" w:sz="8" w:color="C0E6F5"/>
            </w:tcBorders>
            <w:shd w:val="clear" w:color="auto" w:fill="C0E6F5"/>
          </w:tcPr>
          <w:p>
            <w:pPr>
              <w:spacing w:after="0"/>
              <w:rPr>
                <w:sz w:val="20"/>
                <w:szCs w:val="20"/>
                <w:color w:val="auto"/>
              </w:rPr>
            </w:pPr>
          </w:p>
        </w:tc>
        <w:tc>
          <w:tcPr>
            <w:tcW w:w="13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tcBorders>
              <w:bottom w:val="single" w:sz="8" w:color="C0E6F5"/>
            </w:tcBorders>
            <w:shd w:val="clear" w:color="auto" w:fill="C0E6F5"/>
          </w:tcPr>
          <w:p>
            <w:pPr>
              <w:spacing w:after="0"/>
              <w:rPr>
                <w:sz w:val="20"/>
                <w:szCs w:val="20"/>
                <w:color w:val="auto"/>
              </w:rPr>
            </w:pPr>
          </w:p>
        </w:tc>
        <w:tc>
          <w:tcPr>
            <w:tcW w:w="280" w:type="dxa"/>
            <w:vAlign w:val="bottom"/>
            <w:tcBorders>
              <w:bottom w:val="single" w:sz="8" w:color="C0E6F5"/>
            </w:tcBorders>
            <w:shd w:val="clear" w:color="auto" w:fill="C0E6F5"/>
          </w:tcPr>
          <w:p>
            <w:pPr>
              <w:spacing w:after="0"/>
              <w:rPr>
                <w:sz w:val="20"/>
                <w:szCs w:val="20"/>
                <w:color w:val="auto"/>
              </w:rPr>
            </w:pPr>
          </w:p>
        </w:tc>
        <w:tc>
          <w:tcPr>
            <w:tcW w:w="18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360" w:type="dxa"/>
            <w:vAlign w:val="bottom"/>
            <w:tcBorders>
              <w:bottom w:val="single" w:sz="8" w:color="C0E6F5"/>
            </w:tcBorders>
            <w:shd w:val="clear" w:color="auto" w:fill="C0E6F5"/>
          </w:tcPr>
          <w:p>
            <w:pPr>
              <w:spacing w:after="0"/>
              <w:rPr>
                <w:sz w:val="20"/>
                <w:szCs w:val="20"/>
                <w:color w:val="auto"/>
              </w:rPr>
            </w:pPr>
          </w:p>
        </w:tc>
        <w:tc>
          <w:tcPr>
            <w:tcW w:w="16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0E6F5"/>
            </w:tcBorders>
            <w:shd w:val="clear" w:color="auto" w:fill="C0E6F5"/>
          </w:tcPr>
          <w:p>
            <w:pPr>
              <w:spacing w:after="0"/>
              <w:rPr>
                <w:sz w:val="20"/>
                <w:szCs w:val="20"/>
                <w:color w:val="auto"/>
              </w:rPr>
            </w:pPr>
          </w:p>
        </w:tc>
        <w:tc>
          <w:tcPr>
            <w:tcW w:w="1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Borders>
              <w:bottom w:val="single" w:sz="8" w:color="C0E6F5"/>
            </w:tcBorders>
            <w:shd w:val="clear" w:color="auto" w:fill="C0E6F5"/>
          </w:tcPr>
          <w:p>
            <w:pPr>
              <w:spacing w:after="0"/>
              <w:rPr>
                <w:sz w:val="20"/>
                <w:szCs w:val="20"/>
                <w:color w:val="auto"/>
              </w:rPr>
            </w:pPr>
          </w:p>
        </w:tc>
        <w:tc>
          <w:tcPr>
            <w:tcW w:w="13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5/23/29</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tcBorders>
              <w:bottom w:val="single" w:sz="8" w:color="C0E6F5"/>
            </w:tcBorders>
            <w:shd w:val="clear" w:color="auto" w:fill="C0E6F5"/>
          </w:tcPr>
          <w:p>
            <w:pPr>
              <w:spacing w:after="0"/>
              <w:rPr>
                <w:sz w:val="20"/>
                <w:szCs w:val="20"/>
                <w:color w:val="auto"/>
              </w:rPr>
            </w:pPr>
          </w:p>
        </w:tc>
        <w:tc>
          <w:tcPr>
            <w:tcW w:w="280" w:type="dxa"/>
            <w:vAlign w:val="bottom"/>
            <w:tcBorders>
              <w:bottom w:val="single" w:sz="8" w:color="C0E6F5"/>
            </w:tcBorders>
            <w:shd w:val="clear" w:color="auto" w:fill="C0E6F5"/>
          </w:tcPr>
          <w:p>
            <w:pPr>
              <w:spacing w:after="0"/>
              <w:rPr>
                <w:sz w:val="20"/>
                <w:szCs w:val="20"/>
                <w:color w:val="auto"/>
              </w:rPr>
            </w:pPr>
          </w:p>
        </w:tc>
        <w:tc>
          <w:tcPr>
            <w:tcW w:w="18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360" w:type="dxa"/>
            <w:vAlign w:val="bottom"/>
            <w:tcBorders>
              <w:bottom w:val="single" w:sz="8" w:color="C0E6F5"/>
            </w:tcBorders>
            <w:shd w:val="clear" w:color="auto" w:fill="C0E6F5"/>
          </w:tcPr>
          <w:p>
            <w:pPr>
              <w:spacing w:after="0"/>
              <w:rPr>
                <w:sz w:val="20"/>
                <w:szCs w:val="20"/>
                <w:color w:val="auto"/>
              </w:rPr>
            </w:pPr>
          </w:p>
        </w:tc>
        <w:tc>
          <w:tcPr>
            <w:tcW w:w="16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0E6F5"/>
            </w:tcBorders>
            <w:shd w:val="clear" w:color="auto" w:fill="C0E6F5"/>
          </w:tcPr>
          <w:p>
            <w:pPr>
              <w:spacing w:after="0"/>
              <w:rPr>
                <w:sz w:val="20"/>
                <w:szCs w:val="20"/>
                <w:color w:val="auto"/>
              </w:rPr>
            </w:pPr>
          </w:p>
        </w:tc>
        <w:tc>
          <w:tcPr>
            <w:tcW w:w="1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340" w:type="dxa"/>
            <w:vAlign w:val="bottom"/>
            <w:tcBorders>
              <w:bottom w:val="single" w:sz="8" w:color="C0E6F5"/>
            </w:tcBorders>
            <w:shd w:val="clear" w:color="auto" w:fill="C0E6F5"/>
          </w:tcPr>
          <w:p>
            <w:pPr>
              <w:spacing w:after="0"/>
              <w:rPr>
                <w:sz w:val="20"/>
                <w:szCs w:val="20"/>
                <w:color w:val="auto"/>
              </w:rPr>
            </w:pPr>
          </w:p>
        </w:tc>
        <w:tc>
          <w:tcPr>
            <w:tcW w:w="13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10/21/29</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4/23/30</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tcBorders>
              <w:bottom w:val="single" w:sz="8" w:color="C0E6F5"/>
            </w:tcBorders>
            <w:shd w:val="clear" w:color="auto" w:fill="C0E6F5"/>
          </w:tcPr>
          <w:p>
            <w:pPr>
              <w:spacing w:after="0"/>
              <w:rPr>
                <w:sz w:val="20"/>
                <w:szCs w:val="20"/>
                <w:color w:val="auto"/>
              </w:rPr>
            </w:pPr>
          </w:p>
        </w:tc>
        <w:tc>
          <w:tcPr>
            <w:tcW w:w="280" w:type="dxa"/>
            <w:vAlign w:val="bottom"/>
            <w:tcBorders>
              <w:bottom w:val="single" w:sz="8" w:color="C0E6F5"/>
            </w:tcBorders>
            <w:shd w:val="clear" w:color="auto" w:fill="C0E6F5"/>
          </w:tcPr>
          <w:p>
            <w:pPr>
              <w:spacing w:after="0"/>
              <w:rPr>
                <w:sz w:val="20"/>
                <w:szCs w:val="20"/>
                <w:color w:val="auto"/>
              </w:rPr>
            </w:pPr>
          </w:p>
        </w:tc>
        <w:tc>
          <w:tcPr>
            <w:tcW w:w="18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360" w:type="dxa"/>
            <w:vAlign w:val="bottom"/>
            <w:tcBorders>
              <w:bottom w:val="single" w:sz="8" w:color="C0E6F5"/>
            </w:tcBorders>
            <w:shd w:val="clear" w:color="auto" w:fill="C0E6F5"/>
          </w:tcPr>
          <w:p>
            <w:pPr>
              <w:spacing w:after="0"/>
              <w:rPr>
                <w:sz w:val="20"/>
                <w:szCs w:val="20"/>
                <w:color w:val="auto"/>
              </w:rPr>
            </w:pPr>
          </w:p>
        </w:tc>
        <w:tc>
          <w:tcPr>
            <w:tcW w:w="16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0E6F5"/>
            </w:tcBorders>
            <w:shd w:val="clear" w:color="auto" w:fill="C0E6F5"/>
          </w:tcPr>
          <w:p>
            <w:pPr>
              <w:spacing w:after="0"/>
              <w:rPr>
                <w:sz w:val="20"/>
                <w:szCs w:val="20"/>
                <w:color w:val="auto"/>
              </w:rPr>
            </w:pPr>
          </w:p>
        </w:tc>
        <w:tc>
          <w:tcPr>
            <w:tcW w:w="1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340" w:type="dxa"/>
            <w:vAlign w:val="bottom"/>
            <w:tcBorders>
              <w:bottom w:val="single" w:sz="8" w:color="C0E6F5"/>
            </w:tcBorders>
            <w:shd w:val="clear" w:color="auto" w:fill="C0E6F5"/>
          </w:tcPr>
          <w:p>
            <w:pPr>
              <w:spacing w:after="0"/>
              <w:rPr>
                <w:sz w:val="20"/>
                <w:szCs w:val="20"/>
                <w:color w:val="auto"/>
              </w:rPr>
            </w:pPr>
          </w:p>
        </w:tc>
        <w:tc>
          <w:tcPr>
            <w:tcW w:w="13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12/30/30</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color w:val="auto"/>
                <w:w w:val="85"/>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291,667</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208,333</w:t>
            </w:r>
          </w:p>
        </w:tc>
        <w:tc>
          <w:tcPr>
            <w:tcW w:w="3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6/24/34</w:t>
            </w:r>
          </w:p>
        </w:tc>
        <w:tc>
          <w:tcPr>
            <w:tcW w:w="0" w:type="dxa"/>
            <w:vAlign w:val="bottom"/>
          </w:tcPr>
          <w:p>
            <w:pPr>
              <w:spacing w:after="0"/>
              <w:rPr>
                <w:sz w:val="1"/>
                <w:szCs w:val="1"/>
                <w:color w:val="auto"/>
              </w:rPr>
            </w:pPr>
          </w:p>
        </w:tc>
      </w:tr>
      <w:tr>
        <w:trPr>
          <w:trHeight w:val="292"/>
        </w:trPr>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0E6F5"/>
            </w:tcBorders>
          </w:tcPr>
          <w:p>
            <w:pPr>
              <w:spacing w:after="0"/>
              <w:rPr>
                <w:sz w:val="2"/>
                <w:szCs w:val="2"/>
                <w:color w:val="auto"/>
              </w:rPr>
            </w:pPr>
          </w:p>
        </w:tc>
        <w:tc>
          <w:tcPr>
            <w:tcW w:w="280" w:type="dxa"/>
            <w:vAlign w:val="bottom"/>
            <w:tcBorders>
              <w:bottom w:val="single" w:sz="8" w:color="C0E6F5"/>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C0E6F5"/>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C0E6F5"/>
            </w:tcBorders>
          </w:tcPr>
          <w:p>
            <w:pPr>
              <w:spacing w:after="0"/>
              <w:rPr>
                <w:sz w:val="2"/>
                <w:szCs w:val="2"/>
                <w:color w:val="auto"/>
              </w:rPr>
            </w:pPr>
          </w:p>
        </w:tc>
        <w:tc>
          <w:tcPr>
            <w:tcW w:w="120" w:type="dxa"/>
            <w:vAlign w:val="bottom"/>
            <w:tcBorders>
              <w:bottom w:val="single" w:sz="8" w:color="C0E6F5"/>
            </w:tcBorders>
          </w:tcPr>
          <w:p>
            <w:pPr>
              <w:spacing w:after="0"/>
              <w:rPr>
                <w:sz w:val="2"/>
                <w:szCs w:val="2"/>
                <w:color w:val="auto"/>
              </w:rPr>
            </w:pPr>
          </w:p>
        </w:tc>
        <w:tc>
          <w:tcPr>
            <w:tcW w:w="1200" w:type="dxa"/>
            <w:vAlign w:val="bottom"/>
            <w:tcBorders>
              <w:bottom w:val="single" w:sz="8" w:color="C0E6F5"/>
            </w:tcBorders>
          </w:tcPr>
          <w:p>
            <w:pPr>
              <w:spacing w:after="0"/>
              <w:rPr>
                <w:sz w:val="2"/>
                <w:szCs w:val="2"/>
                <w:color w:val="auto"/>
              </w:rPr>
            </w:pPr>
          </w:p>
        </w:tc>
        <w:tc>
          <w:tcPr>
            <w:tcW w:w="340" w:type="dxa"/>
            <w:vAlign w:val="bottom"/>
            <w:tcBorders>
              <w:bottom w:val="single" w:sz="8" w:color="C0E6F5"/>
            </w:tcBorders>
          </w:tcPr>
          <w:p>
            <w:pPr>
              <w:spacing w:after="0"/>
              <w:rPr>
                <w:sz w:val="2"/>
                <w:szCs w:val="2"/>
                <w:color w:val="auto"/>
              </w:rPr>
            </w:pPr>
          </w:p>
        </w:tc>
        <w:tc>
          <w:tcPr>
            <w:tcW w:w="1320" w:type="dxa"/>
            <w:vAlign w:val="bottom"/>
            <w:tcBorders>
              <w:bottom w:val="single" w:sz="8" w:color="C0E6F5"/>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0E6F5"/>
            </w:tcBorders>
            <w:gridSpan w:val="2"/>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449,008</w:t>
            </w:r>
          </w:p>
        </w:tc>
        <w:tc>
          <w:tcPr>
            <w:tcW w:w="360" w:type="dxa"/>
            <w:vAlign w:val="bottom"/>
            <w:tcBorders>
              <w:bottom w:val="single" w:sz="8" w:color="C0E6F5"/>
            </w:tcBorders>
            <w:shd w:val="clear" w:color="auto" w:fill="C0E6F5"/>
          </w:tcPr>
          <w:p>
            <w:pPr>
              <w:spacing w:after="0"/>
              <w:rPr>
                <w:sz w:val="20"/>
                <w:szCs w:val="20"/>
                <w:color w:val="auto"/>
              </w:rPr>
            </w:pPr>
          </w:p>
        </w:tc>
        <w:tc>
          <w:tcPr>
            <w:tcW w:w="16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433,333</w:t>
            </w:r>
          </w:p>
        </w:tc>
        <w:tc>
          <w:tcPr>
            <w:tcW w:w="340" w:type="dxa"/>
            <w:vAlign w:val="bottom"/>
            <w:tcBorders>
              <w:bottom w:val="single" w:sz="8" w:color="C0E6F5"/>
            </w:tcBorders>
            <w:shd w:val="clear" w:color="auto" w:fill="C0E6F5"/>
          </w:tcPr>
          <w:p>
            <w:pPr>
              <w:spacing w:after="0"/>
              <w:rPr>
                <w:sz w:val="20"/>
                <w:szCs w:val="20"/>
                <w:color w:val="auto"/>
              </w:rPr>
            </w:pPr>
          </w:p>
        </w:tc>
        <w:tc>
          <w:tcPr>
            <w:tcW w:w="120" w:type="dxa"/>
            <w:vAlign w:val="bottom"/>
            <w:tcBorders>
              <w:bottom w:val="single" w:sz="8" w:color="C0E6F5"/>
            </w:tcBorders>
            <w:shd w:val="clear" w:color="auto" w:fill="C0E6F5"/>
          </w:tcPr>
          <w:p>
            <w:pPr>
              <w:spacing w:after="0"/>
              <w:rPr>
                <w:sz w:val="20"/>
                <w:szCs w:val="20"/>
                <w:color w:val="auto"/>
              </w:rPr>
            </w:pPr>
          </w:p>
        </w:tc>
        <w:tc>
          <w:tcPr>
            <w:tcW w:w="1200" w:type="dxa"/>
            <w:vAlign w:val="bottom"/>
            <w:tcBorders>
              <w:bottom w:val="single" w:sz="8" w:color="C0E6F5"/>
            </w:tcBorders>
            <w:shd w:val="clear" w:color="auto" w:fill="C0E6F5"/>
          </w:tcPr>
          <w:p>
            <w:pPr>
              <w:spacing w:after="0"/>
              <w:rPr>
                <w:sz w:val="20"/>
                <w:szCs w:val="20"/>
                <w:color w:val="auto"/>
              </w:rPr>
            </w:pPr>
          </w:p>
        </w:tc>
        <w:tc>
          <w:tcPr>
            <w:tcW w:w="340" w:type="dxa"/>
            <w:vAlign w:val="bottom"/>
            <w:tcBorders>
              <w:bottom w:val="single" w:sz="8" w:color="C0E6F5"/>
            </w:tcBorders>
            <w:shd w:val="clear" w:color="auto" w:fill="C0E6F5"/>
          </w:tcPr>
          <w:p>
            <w:pPr>
              <w:spacing w:after="0"/>
              <w:rPr>
                <w:sz w:val="20"/>
                <w:szCs w:val="20"/>
                <w:color w:val="auto"/>
              </w:rPr>
            </w:pPr>
          </w:p>
        </w:tc>
        <w:tc>
          <w:tcPr>
            <w:tcW w:w="1320" w:type="dxa"/>
            <w:vAlign w:val="bottom"/>
            <w:tcBorders>
              <w:bottom w:val="single" w:sz="8" w:color="C0E6F5"/>
            </w:tcBorders>
            <w:shd w:val="clear" w:color="auto" w:fill="C0E6F5"/>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80" w:type="dxa"/>
            <w:vAlign w:val="bottom"/>
            <w:gridSpan w:val="2"/>
            <w:shd w:val="clear" w:color="auto" w:fill="C0E6F5"/>
          </w:tcPr>
          <w:p>
            <w:pPr>
              <w:ind w:left="20"/>
              <w:spacing w:after="0" w:line="250" w:lineRule="exact"/>
              <w:rPr>
                <w:sz w:val="20"/>
                <w:szCs w:val="20"/>
                <w:color w:val="auto"/>
              </w:rPr>
            </w:pPr>
            <w:r>
              <w:rPr>
                <w:rFonts w:ascii="Times New Roman" w:cs="Times New Roman" w:eastAsia="Times New Roman" w:hAnsi="Times New Roman"/>
                <w:sz w:val="18"/>
                <w:szCs w:val="18"/>
                <w:color w:val="auto"/>
              </w:rPr>
              <w:t>Reid G. Adler, J.D.</w:t>
            </w:r>
            <w:r>
              <w:rPr>
                <w:rFonts w:ascii="Times New Roman" w:cs="Times New Roman" w:eastAsia="Times New Roman" w:hAnsi="Times New Roman"/>
                <w:sz w:val="23"/>
                <w:szCs w:val="23"/>
                <w:color w:val="auto"/>
                <w:vertAlign w:val="superscript"/>
              </w:rPr>
              <w:t>(3)</w:t>
            </w:r>
          </w:p>
        </w:tc>
        <w:tc>
          <w:tcPr>
            <w:tcW w:w="182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60" w:type="dxa"/>
            <w:vAlign w:val="bottom"/>
            <w:shd w:val="clear" w:color="auto" w:fill="C0E6F5"/>
          </w:tcPr>
          <w:p>
            <w:pPr>
              <w:spacing w:after="0"/>
              <w:rPr>
                <w:sz w:val="21"/>
                <w:szCs w:val="21"/>
                <w:color w:val="auto"/>
              </w:rPr>
            </w:pPr>
          </w:p>
        </w:tc>
        <w:tc>
          <w:tcPr>
            <w:tcW w:w="166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E6F5"/>
          </w:tcPr>
          <w:p>
            <w:pPr>
              <w:spacing w:after="0"/>
              <w:rPr>
                <w:sz w:val="21"/>
                <w:szCs w:val="21"/>
                <w:color w:val="auto"/>
              </w:rPr>
            </w:pPr>
          </w:p>
        </w:tc>
        <w:tc>
          <w:tcPr>
            <w:tcW w:w="12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340" w:type="dxa"/>
            <w:vAlign w:val="bottom"/>
            <w:shd w:val="clear" w:color="auto" w:fill="C0E6F5"/>
          </w:tcPr>
          <w:p>
            <w:pPr>
              <w:spacing w:after="0"/>
              <w:rPr>
                <w:sz w:val="21"/>
                <w:szCs w:val="21"/>
                <w:color w:val="auto"/>
              </w:rPr>
            </w:pPr>
          </w:p>
        </w:tc>
        <w:tc>
          <w:tcPr>
            <w:tcW w:w="132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9/19/27</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tcBorders>
              <w:bottom w:val="single" w:sz="8" w:color="C0E6F5"/>
            </w:tcBorders>
            <w:shd w:val="clear" w:color="auto" w:fill="C0E6F5"/>
          </w:tcPr>
          <w:p>
            <w:pPr>
              <w:spacing w:after="0"/>
              <w:rPr>
                <w:sz w:val="20"/>
                <w:szCs w:val="20"/>
                <w:color w:val="auto"/>
              </w:rPr>
            </w:pPr>
          </w:p>
        </w:tc>
        <w:tc>
          <w:tcPr>
            <w:tcW w:w="280" w:type="dxa"/>
            <w:vAlign w:val="bottom"/>
            <w:tcBorders>
              <w:bottom w:val="single" w:sz="8" w:color="C0E6F5"/>
            </w:tcBorders>
            <w:shd w:val="clear" w:color="auto" w:fill="C0E6F5"/>
          </w:tcPr>
          <w:p>
            <w:pPr>
              <w:spacing w:after="0"/>
              <w:rPr>
                <w:sz w:val="20"/>
                <w:szCs w:val="20"/>
                <w:color w:val="auto"/>
              </w:rPr>
            </w:pPr>
          </w:p>
        </w:tc>
        <w:tc>
          <w:tcPr>
            <w:tcW w:w="18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360" w:type="dxa"/>
            <w:vAlign w:val="bottom"/>
            <w:tcBorders>
              <w:bottom w:val="single" w:sz="8" w:color="C0E6F5"/>
            </w:tcBorders>
            <w:shd w:val="clear" w:color="auto" w:fill="C0E6F5"/>
          </w:tcPr>
          <w:p>
            <w:pPr>
              <w:spacing w:after="0"/>
              <w:rPr>
                <w:sz w:val="20"/>
                <w:szCs w:val="20"/>
                <w:color w:val="auto"/>
              </w:rPr>
            </w:pPr>
          </w:p>
        </w:tc>
        <w:tc>
          <w:tcPr>
            <w:tcW w:w="16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0E6F5"/>
            </w:tcBorders>
            <w:shd w:val="clear" w:color="auto" w:fill="C0E6F5"/>
          </w:tcPr>
          <w:p>
            <w:pPr>
              <w:spacing w:after="0"/>
              <w:rPr>
                <w:sz w:val="20"/>
                <w:szCs w:val="20"/>
                <w:color w:val="auto"/>
              </w:rPr>
            </w:pPr>
          </w:p>
        </w:tc>
        <w:tc>
          <w:tcPr>
            <w:tcW w:w="1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Borders>
              <w:bottom w:val="single" w:sz="8" w:color="C0E6F5"/>
            </w:tcBorders>
            <w:shd w:val="clear" w:color="auto" w:fill="C0E6F5"/>
          </w:tcPr>
          <w:p>
            <w:pPr>
              <w:spacing w:after="0"/>
              <w:rPr>
                <w:sz w:val="20"/>
                <w:szCs w:val="20"/>
                <w:color w:val="auto"/>
              </w:rPr>
            </w:pPr>
          </w:p>
        </w:tc>
        <w:tc>
          <w:tcPr>
            <w:tcW w:w="13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5/23/29</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10/21/29</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tcBorders>
              <w:bottom w:val="single" w:sz="8" w:color="C0E6F5"/>
            </w:tcBorders>
            <w:shd w:val="clear" w:color="auto" w:fill="C0E6F5"/>
          </w:tcPr>
          <w:p>
            <w:pPr>
              <w:spacing w:after="0"/>
              <w:rPr>
                <w:sz w:val="20"/>
                <w:szCs w:val="20"/>
                <w:color w:val="auto"/>
              </w:rPr>
            </w:pPr>
          </w:p>
        </w:tc>
        <w:tc>
          <w:tcPr>
            <w:tcW w:w="280" w:type="dxa"/>
            <w:vAlign w:val="bottom"/>
            <w:tcBorders>
              <w:bottom w:val="single" w:sz="8" w:color="C0E6F5"/>
            </w:tcBorders>
            <w:shd w:val="clear" w:color="auto" w:fill="C0E6F5"/>
          </w:tcPr>
          <w:p>
            <w:pPr>
              <w:spacing w:after="0"/>
              <w:rPr>
                <w:sz w:val="20"/>
                <w:szCs w:val="20"/>
                <w:color w:val="auto"/>
              </w:rPr>
            </w:pPr>
          </w:p>
        </w:tc>
        <w:tc>
          <w:tcPr>
            <w:tcW w:w="18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60" w:type="dxa"/>
            <w:vAlign w:val="bottom"/>
            <w:tcBorders>
              <w:bottom w:val="single" w:sz="8" w:color="C0E6F5"/>
            </w:tcBorders>
            <w:shd w:val="clear" w:color="auto" w:fill="C0E6F5"/>
          </w:tcPr>
          <w:p>
            <w:pPr>
              <w:spacing w:after="0"/>
              <w:rPr>
                <w:sz w:val="20"/>
                <w:szCs w:val="20"/>
                <w:color w:val="auto"/>
              </w:rPr>
            </w:pPr>
          </w:p>
        </w:tc>
        <w:tc>
          <w:tcPr>
            <w:tcW w:w="16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0E6F5"/>
            </w:tcBorders>
            <w:shd w:val="clear" w:color="auto" w:fill="C0E6F5"/>
          </w:tcPr>
          <w:p>
            <w:pPr>
              <w:spacing w:after="0"/>
              <w:rPr>
                <w:sz w:val="20"/>
                <w:szCs w:val="20"/>
                <w:color w:val="auto"/>
              </w:rPr>
            </w:pPr>
          </w:p>
        </w:tc>
        <w:tc>
          <w:tcPr>
            <w:tcW w:w="1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340" w:type="dxa"/>
            <w:vAlign w:val="bottom"/>
            <w:tcBorders>
              <w:bottom w:val="single" w:sz="8" w:color="C0E6F5"/>
            </w:tcBorders>
            <w:shd w:val="clear" w:color="auto" w:fill="C0E6F5"/>
          </w:tcPr>
          <w:p>
            <w:pPr>
              <w:spacing w:after="0"/>
              <w:rPr>
                <w:sz w:val="20"/>
                <w:szCs w:val="20"/>
                <w:color w:val="auto"/>
              </w:rPr>
            </w:pPr>
          </w:p>
        </w:tc>
        <w:tc>
          <w:tcPr>
            <w:tcW w:w="13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4/23/30</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7/16/31</w:t>
            </w:r>
          </w:p>
        </w:tc>
        <w:tc>
          <w:tcPr>
            <w:tcW w:w="0" w:type="dxa"/>
            <w:vAlign w:val="bottom"/>
          </w:tcPr>
          <w:p>
            <w:pPr>
              <w:spacing w:after="0"/>
              <w:rPr>
                <w:sz w:val="1"/>
                <w:szCs w:val="1"/>
                <w:color w:val="auto"/>
              </w:rPr>
            </w:pPr>
          </w:p>
        </w:tc>
      </w:tr>
      <w:tr>
        <w:trPr>
          <w:trHeight w:val="252"/>
        </w:trPr>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color w:val="auto"/>
                <w:w w:val="85"/>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21"/>
        </w:trPr>
        <w:tc>
          <w:tcPr>
            <w:tcW w:w="3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99,167</w:t>
            </w:r>
          </w:p>
        </w:tc>
        <w:tc>
          <w:tcPr>
            <w:tcW w:w="3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70,833</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6/24/34</w:t>
            </w:r>
          </w:p>
        </w:tc>
        <w:tc>
          <w:tcPr>
            <w:tcW w:w="0" w:type="dxa"/>
            <w:vAlign w:val="bottom"/>
          </w:tcPr>
          <w:p>
            <w:pPr>
              <w:spacing w:after="0"/>
              <w:rPr>
                <w:sz w:val="1"/>
                <w:szCs w:val="1"/>
                <w:color w:val="auto"/>
              </w:rPr>
            </w:pPr>
          </w:p>
        </w:tc>
      </w:tr>
      <w:tr>
        <w:trPr>
          <w:trHeight w:val="292"/>
        </w:trPr>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0E6F5"/>
            </w:tcBorders>
          </w:tcPr>
          <w:p>
            <w:pPr>
              <w:spacing w:after="0"/>
              <w:rPr>
                <w:sz w:val="2"/>
                <w:szCs w:val="2"/>
                <w:color w:val="auto"/>
              </w:rPr>
            </w:pPr>
          </w:p>
        </w:tc>
        <w:tc>
          <w:tcPr>
            <w:tcW w:w="280" w:type="dxa"/>
            <w:vAlign w:val="bottom"/>
            <w:tcBorders>
              <w:bottom w:val="single" w:sz="8" w:color="C0E6F5"/>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C0E6F5"/>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C0E6F5"/>
            </w:tcBorders>
          </w:tcPr>
          <w:p>
            <w:pPr>
              <w:spacing w:after="0"/>
              <w:rPr>
                <w:sz w:val="2"/>
                <w:szCs w:val="2"/>
                <w:color w:val="auto"/>
              </w:rPr>
            </w:pPr>
          </w:p>
        </w:tc>
        <w:tc>
          <w:tcPr>
            <w:tcW w:w="120" w:type="dxa"/>
            <w:vAlign w:val="bottom"/>
            <w:tcBorders>
              <w:bottom w:val="single" w:sz="8" w:color="C0E6F5"/>
            </w:tcBorders>
          </w:tcPr>
          <w:p>
            <w:pPr>
              <w:spacing w:after="0"/>
              <w:rPr>
                <w:sz w:val="2"/>
                <w:szCs w:val="2"/>
                <w:color w:val="auto"/>
              </w:rPr>
            </w:pPr>
          </w:p>
        </w:tc>
        <w:tc>
          <w:tcPr>
            <w:tcW w:w="1200" w:type="dxa"/>
            <w:vAlign w:val="bottom"/>
            <w:tcBorders>
              <w:bottom w:val="single" w:sz="8" w:color="C0E6F5"/>
            </w:tcBorders>
          </w:tcPr>
          <w:p>
            <w:pPr>
              <w:spacing w:after="0"/>
              <w:rPr>
                <w:sz w:val="2"/>
                <w:szCs w:val="2"/>
                <w:color w:val="auto"/>
              </w:rPr>
            </w:pPr>
          </w:p>
        </w:tc>
        <w:tc>
          <w:tcPr>
            <w:tcW w:w="340" w:type="dxa"/>
            <w:vAlign w:val="bottom"/>
            <w:tcBorders>
              <w:bottom w:val="single" w:sz="8" w:color="C0E6F5"/>
            </w:tcBorders>
          </w:tcPr>
          <w:p>
            <w:pPr>
              <w:spacing w:after="0"/>
              <w:rPr>
                <w:sz w:val="2"/>
                <w:szCs w:val="2"/>
                <w:color w:val="auto"/>
              </w:rPr>
            </w:pPr>
          </w:p>
        </w:tc>
        <w:tc>
          <w:tcPr>
            <w:tcW w:w="1320" w:type="dxa"/>
            <w:vAlign w:val="bottom"/>
            <w:tcBorders>
              <w:bottom w:val="single" w:sz="8" w:color="C0E6F5"/>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80" w:type="dxa"/>
            <w:vAlign w:val="bottom"/>
            <w:tcBorders>
              <w:bottom w:val="single" w:sz="8" w:color="C0E6F5"/>
            </w:tcBorders>
            <w:gridSpan w:val="2"/>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138,728</w:t>
            </w:r>
          </w:p>
        </w:tc>
        <w:tc>
          <w:tcPr>
            <w:tcW w:w="360" w:type="dxa"/>
            <w:vAlign w:val="bottom"/>
            <w:tcBorders>
              <w:bottom w:val="single" w:sz="8" w:color="C0E6F5"/>
            </w:tcBorders>
            <w:shd w:val="clear" w:color="auto" w:fill="C0E6F5"/>
          </w:tcPr>
          <w:p>
            <w:pPr>
              <w:spacing w:after="0"/>
              <w:rPr>
                <w:sz w:val="21"/>
                <w:szCs w:val="21"/>
                <w:color w:val="auto"/>
              </w:rPr>
            </w:pPr>
          </w:p>
        </w:tc>
        <w:tc>
          <w:tcPr>
            <w:tcW w:w="16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146,109</w:t>
            </w:r>
          </w:p>
        </w:tc>
        <w:tc>
          <w:tcPr>
            <w:tcW w:w="340" w:type="dxa"/>
            <w:vAlign w:val="bottom"/>
            <w:tcBorders>
              <w:bottom w:val="single" w:sz="8" w:color="C0E6F5"/>
            </w:tcBorders>
            <w:shd w:val="clear" w:color="auto" w:fill="C0E6F5"/>
          </w:tcPr>
          <w:p>
            <w:pPr>
              <w:spacing w:after="0"/>
              <w:rPr>
                <w:sz w:val="21"/>
                <w:szCs w:val="21"/>
                <w:color w:val="auto"/>
              </w:rPr>
            </w:pPr>
          </w:p>
        </w:tc>
        <w:tc>
          <w:tcPr>
            <w:tcW w:w="120" w:type="dxa"/>
            <w:vAlign w:val="bottom"/>
            <w:tcBorders>
              <w:bottom w:val="single" w:sz="8" w:color="C0E6F5"/>
            </w:tcBorders>
            <w:shd w:val="clear" w:color="auto" w:fill="C0E6F5"/>
          </w:tcPr>
          <w:p>
            <w:pPr>
              <w:spacing w:after="0"/>
              <w:rPr>
                <w:sz w:val="21"/>
                <w:szCs w:val="21"/>
                <w:color w:val="auto"/>
              </w:rPr>
            </w:pPr>
          </w:p>
        </w:tc>
        <w:tc>
          <w:tcPr>
            <w:tcW w:w="1200" w:type="dxa"/>
            <w:vAlign w:val="bottom"/>
            <w:tcBorders>
              <w:bottom w:val="single" w:sz="8" w:color="C0E6F5"/>
            </w:tcBorders>
            <w:shd w:val="clear" w:color="auto" w:fill="C0E6F5"/>
          </w:tcPr>
          <w:p>
            <w:pPr>
              <w:spacing w:after="0"/>
              <w:rPr>
                <w:sz w:val="21"/>
                <w:szCs w:val="21"/>
                <w:color w:val="auto"/>
              </w:rPr>
            </w:pPr>
          </w:p>
        </w:tc>
        <w:tc>
          <w:tcPr>
            <w:tcW w:w="340" w:type="dxa"/>
            <w:vAlign w:val="bottom"/>
            <w:tcBorders>
              <w:bottom w:val="single" w:sz="8" w:color="C0E6F5"/>
            </w:tcBorders>
            <w:shd w:val="clear" w:color="auto" w:fill="C0E6F5"/>
          </w:tcPr>
          <w:p>
            <w:pPr>
              <w:spacing w:after="0"/>
              <w:rPr>
                <w:sz w:val="21"/>
                <w:szCs w:val="21"/>
                <w:color w:val="auto"/>
              </w:rPr>
            </w:pPr>
          </w:p>
        </w:tc>
        <w:tc>
          <w:tcPr>
            <w:tcW w:w="1320" w:type="dxa"/>
            <w:vAlign w:val="bottom"/>
            <w:tcBorders>
              <w:bottom w:val="single" w:sz="8" w:color="C0E6F5"/>
            </w:tcBorders>
            <w:shd w:val="clear" w:color="auto" w:fill="C0E6F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7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0E6F5"/>
            </w:tcBorders>
            <w:gridSpan w:val="2"/>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Joshua S. Prince, MBA</w:t>
            </w:r>
          </w:p>
        </w:tc>
        <w:tc>
          <w:tcPr>
            <w:tcW w:w="18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60" w:type="dxa"/>
            <w:vAlign w:val="bottom"/>
            <w:tcBorders>
              <w:bottom w:val="single" w:sz="8" w:color="C0E6F5"/>
            </w:tcBorders>
            <w:shd w:val="clear" w:color="auto" w:fill="C0E6F5"/>
          </w:tcPr>
          <w:p>
            <w:pPr>
              <w:spacing w:after="0"/>
              <w:rPr>
                <w:sz w:val="20"/>
                <w:szCs w:val="20"/>
                <w:color w:val="auto"/>
              </w:rPr>
            </w:pPr>
          </w:p>
        </w:tc>
        <w:tc>
          <w:tcPr>
            <w:tcW w:w="16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0E6F5"/>
            </w:tcBorders>
            <w:shd w:val="clear" w:color="auto" w:fill="C0E6F5"/>
          </w:tcPr>
          <w:p>
            <w:pPr>
              <w:spacing w:after="0"/>
              <w:rPr>
                <w:sz w:val="20"/>
                <w:szCs w:val="20"/>
                <w:color w:val="auto"/>
              </w:rPr>
            </w:pPr>
          </w:p>
        </w:tc>
        <w:tc>
          <w:tcPr>
            <w:tcW w:w="1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340" w:type="dxa"/>
            <w:vAlign w:val="bottom"/>
            <w:tcBorders>
              <w:bottom w:val="single" w:sz="8" w:color="C0E6F5"/>
            </w:tcBorders>
            <w:shd w:val="clear" w:color="auto" w:fill="C0E6F5"/>
          </w:tcPr>
          <w:p>
            <w:pPr>
              <w:spacing w:after="0"/>
              <w:rPr>
                <w:sz w:val="20"/>
                <w:szCs w:val="20"/>
                <w:color w:val="auto"/>
              </w:rPr>
            </w:pPr>
          </w:p>
        </w:tc>
        <w:tc>
          <w:tcPr>
            <w:tcW w:w="132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11/15/31</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11/16/32</w:t>
            </w: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3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6/24/34</w:t>
            </w:r>
          </w:p>
        </w:tc>
        <w:tc>
          <w:tcPr>
            <w:tcW w:w="0" w:type="dxa"/>
            <w:vAlign w:val="bottom"/>
          </w:tcPr>
          <w:p>
            <w:pPr>
              <w:spacing w:after="0"/>
              <w:rPr>
                <w:sz w:val="1"/>
                <w:szCs w:val="1"/>
                <w:color w:val="auto"/>
              </w:rPr>
            </w:pPr>
          </w:p>
        </w:tc>
      </w:tr>
      <w:tr>
        <w:trPr>
          <w:trHeight w:val="292"/>
        </w:trPr>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6/23/35</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80" w:type="dxa"/>
            <w:vAlign w:val="bottom"/>
            <w:gridSpan w:val="2"/>
            <w:vMerge w:val="continue"/>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125,003</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tcBorders>
              <w:bottom w:val="single" w:sz="8" w:color="auto"/>
            </w:tcBorders>
            <w:shd w:val="clear" w:color="auto" w:fill="C0E6F5"/>
          </w:tcPr>
          <w:p>
            <w:pPr>
              <w:spacing w:after="0"/>
              <w:rPr>
                <w:sz w:val="18"/>
                <w:szCs w:val="18"/>
                <w:color w:val="auto"/>
              </w:rPr>
            </w:pPr>
          </w:p>
        </w:tc>
        <w:tc>
          <w:tcPr>
            <w:tcW w:w="280" w:type="dxa"/>
            <w:vAlign w:val="bottom"/>
            <w:tcBorders>
              <w:bottom w:val="single" w:sz="8" w:color="auto"/>
            </w:tcBorders>
            <w:shd w:val="clear" w:color="auto" w:fill="C0E6F5"/>
          </w:tcPr>
          <w:p>
            <w:pPr>
              <w:spacing w:after="0"/>
              <w:rPr>
                <w:sz w:val="18"/>
                <w:szCs w:val="18"/>
                <w:color w:val="auto"/>
              </w:rPr>
            </w:pPr>
          </w:p>
        </w:tc>
        <w:tc>
          <w:tcPr>
            <w:tcW w:w="1820" w:type="dxa"/>
            <w:vAlign w:val="bottom"/>
            <w:tcBorders>
              <w:bottom w:val="single" w:sz="8" w:color="auto"/>
            </w:tcBorders>
            <w:shd w:val="clear" w:color="auto" w:fill="C0E6F5"/>
          </w:tcPr>
          <w:p>
            <w:pPr>
              <w:spacing w:after="0"/>
              <w:rPr>
                <w:sz w:val="18"/>
                <w:szCs w:val="18"/>
                <w:color w:val="auto"/>
              </w:rPr>
            </w:pPr>
          </w:p>
        </w:tc>
        <w:tc>
          <w:tcPr>
            <w:tcW w:w="360" w:type="dxa"/>
            <w:vAlign w:val="bottom"/>
            <w:tcBorders>
              <w:bottom w:val="single" w:sz="8" w:color="auto"/>
            </w:tcBorders>
            <w:shd w:val="clear" w:color="auto" w:fill="C0E6F5"/>
          </w:tcPr>
          <w:p>
            <w:pPr>
              <w:spacing w:after="0"/>
              <w:rPr>
                <w:sz w:val="18"/>
                <w:szCs w:val="18"/>
                <w:color w:val="auto"/>
              </w:rPr>
            </w:pPr>
          </w:p>
        </w:tc>
        <w:tc>
          <w:tcPr>
            <w:tcW w:w="1660" w:type="dxa"/>
            <w:vAlign w:val="bottom"/>
            <w:tcBorders>
              <w:bottom w:val="single" w:sz="8" w:color="auto"/>
            </w:tcBorders>
            <w:shd w:val="clear" w:color="auto" w:fill="C0E6F5"/>
          </w:tcPr>
          <w:p>
            <w:pPr>
              <w:spacing w:after="0"/>
              <w:rPr>
                <w:sz w:val="18"/>
                <w:szCs w:val="18"/>
                <w:color w:val="auto"/>
              </w:rPr>
            </w:pPr>
          </w:p>
        </w:tc>
        <w:tc>
          <w:tcPr>
            <w:tcW w:w="340" w:type="dxa"/>
            <w:vAlign w:val="bottom"/>
            <w:tcBorders>
              <w:bottom w:val="single" w:sz="8" w:color="auto"/>
            </w:tcBorders>
            <w:shd w:val="clear" w:color="auto" w:fill="C0E6F5"/>
          </w:tcPr>
          <w:p>
            <w:pPr>
              <w:spacing w:after="0"/>
              <w:rPr>
                <w:sz w:val="18"/>
                <w:szCs w:val="18"/>
                <w:color w:val="auto"/>
              </w:rPr>
            </w:pPr>
          </w:p>
        </w:tc>
        <w:tc>
          <w:tcPr>
            <w:tcW w:w="120" w:type="dxa"/>
            <w:vAlign w:val="bottom"/>
            <w:tcBorders>
              <w:bottom w:val="single" w:sz="8" w:color="auto"/>
            </w:tcBorders>
            <w:shd w:val="clear" w:color="auto" w:fill="C0E6F5"/>
          </w:tcPr>
          <w:p>
            <w:pPr>
              <w:spacing w:after="0"/>
              <w:rPr>
                <w:sz w:val="18"/>
                <w:szCs w:val="18"/>
                <w:color w:val="auto"/>
              </w:rPr>
            </w:pPr>
          </w:p>
        </w:tc>
        <w:tc>
          <w:tcPr>
            <w:tcW w:w="1200" w:type="dxa"/>
            <w:vAlign w:val="bottom"/>
            <w:tcBorders>
              <w:bottom w:val="single" w:sz="8" w:color="auto"/>
            </w:tcBorders>
            <w:shd w:val="clear" w:color="auto" w:fill="C0E6F5"/>
          </w:tcPr>
          <w:p>
            <w:pPr>
              <w:spacing w:after="0"/>
              <w:rPr>
                <w:sz w:val="18"/>
                <w:szCs w:val="18"/>
                <w:color w:val="auto"/>
              </w:rPr>
            </w:pPr>
          </w:p>
        </w:tc>
        <w:tc>
          <w:tcPr>
            <w:tcW w:w="340" w:type="dxa"/>
            <w:vAlign w:val="bottom"/>
            <w:tcBorders>
              <w:bottom w:val="single" w:sz="8" w:color="auto"/>
            </w:tcBorders>
            <w:shd w:val="clear" w:color="auto" w:fill="C0E6F5"/>
          </w:tcPr>
          <w:p>
            <w:pPr>
              <w:spacing w:after="0"/>
              <w:rPr>
                <w:sz w:val="18"/>
                <w:szCs w:val="18"/>
                <w:color w:val="auto"/>
              </w:rPr>
            </w:pPr>
          </w:p>
        </w:tc>
        <w:tc>
          <w:tcPr>
            <w:tcW w:w="1320" w:type="dxa"/>
            <w:vAlign w:val="bottom"/>
            <w:tcBorders>
              <w:bottom w:val="single" w:sz="8" w:color="auto"/>
            </w:tcBorders>
            <w:shd w:val="clear" w:color="auto" w:fill="C0E6F5"/>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Elissa S. Cote</w:t>
            </w:r>
          </w:p>
        </w:tc>
        <w:tc>
          <w:tcPr>
            <w:tcW w:w="2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6/23/35</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tcBorders>
              <w:bottom w:val="single" w:sz="8" w:color="auto"/>
            </w:tcBorders>
            <w:shd w:val="clear" w:color="auto" w:fill="C0E6F5"/>
          </w:tcPr>
          <w:p>
            <w:pPr>
              <w:spacing w:after="0"/>
              <w:rPr>
                <w:sz w:val="18"/>
                <w:szCs w:val="18"/>
                <w:color w:val="auto"/>
              </w:rPr>
            </w:pPr>
          </w:p>
        </w:tc>
        <w:tc>
          <w:tcPr>
            <w:tcW w:w="280" w:type="dxa"/>
            <w:vAlign w:val="bottom"/>
            <w:tcBorders>
              <w:bottom w:val="single" w:sz="8" w:color="auto"/>
            </w:tcBorders>
            <w:shd w:val="clear" w:color="auto" w:fill="C0E6F5"/>
          </w:tcPr>
          <w:p>
            <w:pPr>
              <w:spacing w:after="0"/>
              <w:rPr>
                <w:sz w:val="18"/>
                <w:szCs w:val="18"/>
                <w:color w:val="auto"/>
              </w:rPr>
            </w:pPr>
          </w:p>
        </w:tc>
        <w:tc>
          <w:tcPr>
            <w:tcW w:w="1820" w:type="dxa"/>
            <w:vAlign w:val="bottom"/>
            <w:tcBorders>
              <w:bottom w:val="single" w:sz="8" w:color="auto"/>
            </w:tcBorders>
            <w:shd w:val="clear" w:color="auto" w:fill="C0E6F5"/>
          </w:tcPr>
          <w:p>
            <w:pPr>
              <w:spacing w:after="0"/>
              <w:rPr>
                <w:sz w:val="18"/>
                <w:szCs w:val="18"/>
                <w:color w:val="auto"/>
              </w:rPr>
            </w:pPr>
          </w:p>
        </w:tc>
        <w:tc>
          <w:tcPr>
            <w:tcW w:w="360" w:type="dxa"/>
            <w:vAlign w:val="bottom"/>
            <w:tcBorders>
              <w:bottom w:val="single" w:sz="8" w:color="auto"/>
            </w:tcBorders>
            <w:shd w:val="clear" w:color="auto" w:fill="C0E6F5"/>
          </w:tcPr>
          <w:p>
            <w:pPr>
              <w:spacing w:after="0"/>
              <w:rPr>
                <w:sz w:val="18"/>
                <w:szCs w:val="18"/>
                <w:color w:val="auto"/>
              </w:rPr>
            </w:pPr>
          </w:p>
        </w:tc>
        <w:tc>
          <w:tcPr>
            <w:tcW w:w="1660" w:type="dxa"/>
            <w:vAlign w:val="bottom"/>
            <w:tcBorders>
              <w:bottom w:val="single" w:sz="8" w:color="auto"/>
            </w:tcBorders>
            <w:shd w:val="clear" w:color="auto" w:fill="C0E6F5"/>
          </w:tcPr>
          <w:p>
            <w:pPr>
              <w:spacing w:after="0"/>
              <w:rPr>
                <w:sz w:val="18"/>
                <w:szCs w:val="18"/>
                <w:color w:val="auto"/>
              </w:rPr>
            </w:pPr>
          </w:p>
        </w:tc>
        <w:tc>
          <w:tcPr>
            <w:tcW w:w="340" w:type="dxa"/>
            <w:vAlign w:val="bottom"/>
            <w:tcBorders>
              <w:bottom w:val="single" w:sz="8" w:color="auto"/>
            </w:tcBorders>
            <w:shd w:val="clear" w:color="auto" w:fill="C0E6F5"/>
          </w:tcPr>
          <w:p>
            <w:pPr>
              <w:spacing w:after="0"/>
              <w:rPr>
                <w:sz w:val="18"/>
                <w:szCs w:val="18"/>
                <w:color w:val="auto"/>
              </w:rPr>
            </w:pPr>
          </w:p>
        </w:tc>
        <w:tc>
          <w:tcPr>
            <w:tcW w:w="120" w:type="dxa"/>
            <w:vAlign w:val="bottom"/>
            <w:tcBorders>
              <w:bottom w:val="single" w:sz="8" w:color="auto"/>
            </w:tcBorders>
            <w:shd w:val="clear" w:color="auto" w:fill="C0E6F5"/>
          </w:tcPr>
          <w:p>
            <w:pPr>
              <w:spacing w:after="0"/>
              <w:rPr>
                <w:sz w:val="18"/>
                <w:szCs w:val="18"/>
                <w:color w:val="auto"/>
              </w:rPr>
            </w:pPr>
          </w:p>
        </w:tc>
        <w:tc>
          <w:tcPr>
            <w:tcW w:w="1200" w:type="dxa"/>
            <w:vAlign w:val="bottom"/>
            <w:tcBorders>
              <w:bottom w:val="single" w:sz="8" w:color="auto"/>
            </w:tcBorders>
            <w:shd w:val="clear" w:color="auto" w:fill="C0E6F5"/>
          </w:tcPr>
          <w:p>
            <w:pPr>
              <w:spacing w:after="0"/>
              <w:rPr>
                <w:sz w:val="18"/>
                <w:szCs w:val="18"/>
                <w:color w:val="auto"/>
              </w:rPr>
            </w:pPr>
          </w:p>
        </w:tc>
        <w:tc>
          <w:tcPr>
            <w:tcW w:w="340" w:type="dxa"/>
            <w:vAlign w:val="bottom"/>
            <w:tcBorders>
              <w:bottom w:val="single" w:sz="8" w:color="auto"/>
            </w:tcBorders>
            <w:shd w:val="clear" w:color="auto" w:fill="C0E6F5"/>
          </w:tcPr>
          <w:p>
            <w:pPr>
              <w:spacing w:after="0"/>
              <w:rPr>
                <w:sz w:val="18"/>
                <w:szCs w:val="18"/>
                <w:color w:val="auto"/>
              </w:rPr>
            </w:pPr>
          </w:p>
        </w:tc>
        <w:tc>
          <w:tcPr>
            <w:tcW w:w="1320" w:type="dxa"/>
            <w:vAlign w:val="bottom"/>
            <w:tcBorders>
              <w:bottom w:val="single" w:sz="8" w:color="auto"/>
            </w:tcBorders>
            <w:shd w:val="clear" w:color="auto" w:fill="C0E6F5"/>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Nick B. Tressler, MBA</w:t>
            </w:r>
          </w:p>
        </w:tc>
        <w:tc>
          <w:tcPr>
            <w:tcW w:w="2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-4177030</wp:posOffset>
            </wp:positionV>
            <wp:extent cx="7071995"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7199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-2557145</wp:posOffset>
            </wp:positionV>
            <wp:extent cx="7071995"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7199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-2231390</wp:posOffset>
            </wp:positionV>
            <wp:extent cx="7071995"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7199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-1262380</wp:posOffset>
            </wp:positionV>
            <wp:extent cx="7071995"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7199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-936625</wp:posOffset>
            </wp:positionV>
            <wp:extent cx="7071995"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71995" cy="16256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39" w:name="page140"/>
    <w:bookmarkEnd w:id="139"/>
    <w:p>
      <w:pPr>
        <w:jc w:val="both"/>
        <w:ind w:left="20" w:right="120" w:firstLine="6"/>
        <w:spacing w:after="0"/>
        <w:tabs>
          <w:tab w:leader="none" w:pos="203"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071995"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71995" cy="145415"/>
                    </a:xfrm>
                    <a:prstGeom prst="rect">
                      <a:avLst/>
                    </a:prstGeom>
                    <a:noFill/>
                  </pic:spPr>
                </pic:pic>
              </a:graphicData>
            </a:graphic>
          </wp:anchor>
        </w:drawing>
        <w:t>Represents an option to purchase shares of our common stock at $3.23 per share granted on June 24, 2024 when the market price of our common stock was $3.23 per share. The option will become exercisable ratably monthly over 36 months through June 24, 2027, when all shares granted will be fully exercisable.</w:t>
      </w:r>
    </w:p>
    <w:p>
      <w:pPr>
        <w:spacing w:after="0" w:line="213" w:lineRule="exact"/>
        <w:rPr>
          <w:rFonts w:ascii="Times New Roman" w:cs="Times New Roman" w:eastAsia="Times New Roman" w:hAnsi="Times New Roman"/>
          <w:sz w:val="22"/>
          <w:szCs w:val="22"/>
          <w:color w:val="auto"/>
          <w:vertAlign w:val="superscript"/>
        </w:rPr>
      </w:pPr>
    </w:p>
    <w:p>
      <w:pPr>
        <w:jc w:val="both"/>
        <w:ind w:left="20" w:right="120" w:firstLine="6"/>
        <w:spacing w:after="0"/>
        <w:tabs>
          <w:tab w:leader="none" w:pos="203"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an option to purchase shares of our common stock at $1.96 per share granted on June 23, 2025 when the market price of our common stock was $1.96 per share. The option will become exercisable ratably monthly over 36 months through June 23, 2028, when all shares granted will be fully exercisable.</w:t>
      </w:r>
    </w:p>
    <w:p>
      <w:pPr>
        <w:spacing w:after="0" w:line="213" w:lineRule="exact"/>
        <w:rPr>
          <w:rFonts w:ascii="Times New Roman" w:cs="Times New Roman" w:eastAsia="Times New Roman" w:hAnsi="Times New Roman"/>
          <w:sz w:val="22"/>
          <w:szCs w:val="22"/>
          <w:color w:val="auto"/>
          <w:vertAlign w:val="superscript"/>
        </w:rPr>
      </w:pPr>
    </w:p>
    <w:p>
      <w:pPr>
        <w:ind w:left="20" w:right="120" w:firstLine="6"/>
        <w:spacing w:after="0" w:line="222" w:lineRule="auto"/>
        <w:tabs>
          <w:tab w:leader="none" w:pos="207"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options held by Mr. Adler to purchase shares of our common stock reflected in this table as expiring on or before March 1, 2032 were awarded to him for services to the Company as a legal advisor prior to his employment by the Company effective May 2, 2022.</w:t>
      </w:r>
    </w:p>
    <w:p>
      <w:pPr>
        <w:spacing w:after="0" w:line="22" w:lineRule="exact"/>
        <w:rPr>
          <w:rFonts w:ascii="Times New Roman" w:cs="Times New Roman" w:eastAsia="Times New Roman" w:hAnsi="Times New Roman"/>
          <w:sz w:val="23"/>
          <w:szCs w:val="23"/>
          <w:color w:val="auto"/>
          <w:vertAlign w:val="superscript"/>
        </w:rPr>
      </w:pPr>
    </w:p>
    <w:p>
      <w:pPr>
        <w:jc w:val="both"/>
        <w:ind w:left="20" w:right="120" w:firstLine="6"/>
        <w:spacing w:after="0"/>
        <w:tabs>
          <w:tab w:leader="none" w:pos="203"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an option to purchase shares of our common stock at $38.40 per share granted to Mr. Adler upon commencement of his employment by the Company on May 2, 2022 when the market price of our common stock was $38.40 per share. The option became exercisable for 25% of the shares granted on the first anniversary of the grant date, with the remaining 75% of the shares becoming exercisable ratably monthly through May 2, 2026, when all shares granted will be fully exercisable</w:t>
      </w:r>
    </w:p>
    <w:p>
      <w:pPr>
        <w:spacing w:after="0" w:line="24" w:lineRule="exact"/>
        <w:rPr>
          <w:rFonts w:ascii="Times New Roman" w:cs="Times New Roman" w:eastAsia="Times New Roman" w:hAnsi="Times New Roman"/>
          <w:sz w:val="22"/>
          <w:szCs w:val="22"/>
          <w:color w:val="auto"/>
          <w:vertAlign w:val="superscript"/>
        </w:rPr>
      </w:pPr>
    </w:p>
    <w:p>
      <w:pPr>
        <w:jc w:val="both"/>
        <w:ind w:left="20" w:right="120" w:firstLine="6"/>
        <w:spacing w:after="0" w:line="226" w:lineRule="auto"/>
        <w:tabs>
          <w:tab w:leader="none" w:pos="226"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an option to purchase shares of our common stock at $4.437 per share granted on November 16, 2022 when the market price of our common stock was $4.437 per share. The option became exercisable for 25% of the shares granted on the first anniversary of the grant date, with the remaining 75% of the shares becoming exercisable ratably monthly through November 16, 2026, when all shares granted will be fully exercisable.</w:t>
      </w:r>
    </w:p>
    <w:p>
      <w:pPr>
        <w:spacing w:after="0" w:line="22" w:lineRule="exact"/>
        <w:rPr>
          <w:rFonts w:ascii="Times New Roman" w:cs="Times New Roman" w:eastAsia="Times New Roman" w:hAnsi="Times New Roman"/>
          <w:sz w:val="23"/>
          <w:szCs w:val="23"/>
          <w:color w:val="auto"/>
          <w:vertAlign w:val="superscript"/>
        </w:rPr>
      </w:pPr>
    </w:p>
    <w:p>
      <w:pPr>
        <w:jc w:val="both"/>
        <w:ind w:left="20" w:right="120" w:firstLine="6"/>
        <w:spacing w:after="0" w:line="228" w:lineRule="auto"/>
        <w:tabs>
          <w:tab w:leader="none" w:pos="247"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an inducement option to purchase shares of our common stock at $1.96 per share granted to Ms. Cote on June 23, 2025 upon commencement of her employment by the Company when the market price of our common stock was $1.96 per share. The option will become exercisable for 25% of the shares granted on the first anniversary of the grant date, with the remaining 75% of the shares becoming exercisable ratably monthly through June 23, 2029, when all shares granted will be fully exercisable.</w:t>
      </w:r>
    </w:p>
    <w:p>
      <w:pPr>
        <w:spacing w:after="0" w:line="22" w:lineRule="exact"/>
        <w:rPr>
          <w:rFonts w:ascii="Times New Roman" w:cs="Times New Roman" w:eastAsia="Times New Roman" w:hAnsi="Times New Roman"/>
          <w:sz w:val="23"/>
          <w:szCs w:val="23"/>
          <w:color w:val="auto"/>
          <w:vertAlign w:val="superscript"/>
        </w:rPr>
      </w:pPr>
    </w:p>
    <w:p>
      <w:pPr>
        <w:jc w:val="both"/>
        <w:ind w:left="20" w:right="120" w:firstLine="6"/>
        <w:spacing w:after="0" w:line="228" w:lineRule="auto"/>
        <w:tabs>
          <w:tab w:leader="none" w:pos="225"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an inducement option to purchase shares of our common stock at $4.43 per share granted to Mr. Tressler on December 1, 2025 upon commencement of his employment by the Company when the market price of our common stock was $4.43 per share. The option will become exercisable for 25% of the shares granted on the first anniversary of the grant date, with the remaining 75% of the shares becoming exercisable ratably monthly through December 1, 2029, when all shares granted will be fully exercisable.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Arrangements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maintain, through a registered agent, a retirement and deferred savings plan for our officers and employees. This plan is intended to qualify as a tax-qualified plan under Section 401(k) of the Internal Revenue Code (Code). The retirement and deferred savings plan provides that each participant may contribute a portion of her or his pre-tax compensation, subject to statutory limits. Under the plan, each employee is fully vested in her or his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any participating officers or employees.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Following the approval of the 2019 ESPP by our stockholders in September 2019, the 2019 ESPP became operational effective January 1, 2020. Under our 2019 ESPP, shares of our common stock are available for purchase by eligible officers and employees, including our NEOs, each of whom participates in the 2019 ESPP. Eligible employees are entitled to purchase, by means of payroll deductions, limited amounts of our common stock at a discount to the market price during periodic option periods under the 2019 ESPP. The table below indicates the number of shares purchased by each of our Fiscal 2026 NEOs and the per share purchase price for each option period completed in Fiscal 2026 and Fiscal 2025. Participation in the 2019 ESPP is subject to the following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0" w:name="page141"/>
    <w:bookmarkEnd w:id="140"/>
    <w:p>
      <w:pPr>
        <w:ind w:left="1180" w:right="20" w:hanging="398"/>
        <w:spacing w:after="0" w:line="266" w:lineRule="auto"/>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contribute less than 1% or more than 15% of his or her compensation to the purchase of stock under the 2019 ESPP in any one payroll period;</w:t>
      </w:r>
    </w:p>
    <w:p>
      <w:pPr>
        <w:jc w:val="both"/>
        <w:ind w:left="1180" w:right="20" w:hanging="398"/>
        <w:spacing w:after="0" w:line="250" w:lineRule="auto"/>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accrue rights to purchase more than a maximum of $25,000 of common stock (valued at the grant date of the applicable offering period and without giving effect to any discount reflected in the purchase price for the stock) for each calendar year in which an option is outstanding; and</w:t>
      </w:r>
    </w:p>
    <w:p>
      <w:pPr>
        <w:spacing w:after="0" w:line="14" w:lineRule="exact"/>
        <w:rPr>
          <w:rFonts w:ascii="Times New Roman" w:cs="Times New Roman" w:eastAsia="Times New Roman" w:hAnsi="Times New Roman"/>
          <w:sz w:val="18"/>
          <w:szCs w:val="18"/>
          <w:color w:val="auto"/>
        </w:rPr>
      </w:pPr>
    </w:p>
    <w:p>
      <w:pPr>
        <w:jc w:val="both"/>
        <w:ind w:left="1180" w:right="20" w:hanging="398"/>
        <w:spacing w:after="0" w:line="250" w:lineRule="auto"/>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not be granted an option under the 2019 ESPP if it would cause the participant to own common stock and/or hold outstanding options to purchase common stock constituting 5.0% or more of the total combined voting power or value of all classes of stock of the Company or of one of its subsidiaries or to the extent it would exceed certain other limits under the Code.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$25,000 annual purchase limit and the 5% ownership limit referred to above are required under the Code.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Semi-Annual</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8"/>
        </w:trPr>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Purchase Period Ended</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4"/>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8"/>
                <w:szCs w:val="18"/>
                <w:color w:val="auto"/>
              </w:rPr>
            </w:pP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16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purchase price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2.958</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2.5075</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0.5626</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purchased by: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Mr. Singh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4,854</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7,541</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Mr. Tressler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Mr. Adler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4,854</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7,541</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Prince</w:t>
            </w:r>
          </w:p>
        </w:tc>
        <w:tc>
          <w:tcPr>
            <w:tcW w:w="2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2,671</w:t>
            </w:r>
          </w:p>
        </w:tc>
        <w:tc>
          <w:tcPr>
            <w:tcW w:w="380" w:type="dxa"/>
            <w:vAlign w:val="bottom"/>
          </w:tcPr>
          <w:p>
            <w:pPr>
              <w:spacing w:after="0"/>
              <w:rPr>
                <w:sz w:val="19"/>
                <w:szCs w:val="19"/>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3,310</w:t>
            </w:r>
          </w:p>
        </w:tc>
        <w:tc>
          <w:tcPr>
            <w:tcW w:w="42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4,882</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Ms. Cote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03" w:lineRule="exact"/>
        <w:rPr>
          <w:sz w:val="20"/>
          <w:szCs w:val="20"/>
          <w:color w:val="auto"/>
        </w:rPr>
      </w:pPr>
    </w:p>
    <w:p>
      <w:pPr>
        <w:jc w:val="both"/>
        <w:ind w:left="440" w:right="520" w:hanging="414"/>
        <w:spacing w:after="0" w:line="226" w:lineRule="auto"/>
        <w:tabs>
          <w:tab w:leader="none" w:pos="440"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Both Mr. Singh and Mr. Adler met the annual purchase limit of $25,000 under the Code with their respective purchases for the June 30, 2024 and June 30, 2025 purchase periods. As such, pursuant to the Code, neither was eligible to make any additional purchases during the December 31, 2024 or December 31, 2025 purchase periods.</w:t>
      </w:r>
    </w:p>
    <w:p>
      <w:pPr>
        <w:spacing w:after="0" w:line="144" w:lineRule="exact"/>
        <w:rPr>
          <w:rFonts w:ascii="Times New Roman" w:cs="Times New Roman" w:eastAsia="Times New Roman" w:hAnsi="Times New Roman"/>
          <w:sz w:val="23"/>
          <w:szCs w:val="23"/>
          <w:color w:val="auto"/>
          <w:vertAlign w:val="superscript"/>
        </w:rPr>
      </w:pPr>
    </w:p>
    <w:p>
      <w:pPr>
        <w:ind w:left="440" w:right="560" w:hanging="414"/>
        <w:spacing w:after="0" w:line="222" w:lineRule="auto"/>
        <w:tabs>
          <w:tab w:leader="none" w:pos="440"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Tressler's employment with the Company commenced on December 1, 2025. Accordingly, he was not eligible to participate in the 2019 ESPP for any of the periods noted.</w:t>
      </w:r>
    </w:p>
    <w:p>
      <w:pPr>
        <w:spacing w:after="0" w:line="144" w:lineRule="exact"/>
        <w:rPr>
          <w:rFonts w:ascii="Times New Roman" w:cs="Times New Roman" w:eastAsia="Times New Roman" w:hAnsi="Times New Roman"/>
          <w:sz w:val="23"/>
          <w:szCs w:val="23"/>
          <w:color w:val="auto"/>
          <w:vertAlign w:val="superscript"/>
        </w:rPr>
      </w:pPr>
    </w:p>
    <w:p>
      <w:pPr>
        <w:ind w:left="440" w:right="560" w:hanging="414"/>
        <w:spacing w:after="0" w:line="215" w:lineRule="auto"/>
        <w:tabs>
          <w:tab w:leader="none" w:pos="440"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Ms. Cote’s employment with the Company commenced on June 23, 2025. Accordingly, she was not eligible to participate in the 2019 ESPP for any of the periods noted.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Option grants to employees, executive officers and non-employee directors are made by the Compensation Committee under the 2019 Plan from time to time, as determined by the Compensation Committee. We do not have any formal policy that requires the Company to grant, or avoid granting, equity-based compensation at certain times. We do not grant equity awards in anticipation of the release of material nonpublic information that is likely to result in changes to the price of our common stock, and do not time the public release of such information based on award grant dates. The timing of any equity grants to executive officers or directors in connection with new hires, promotions, or other non-routine grants is tied to the event giving rise to the award (such as an executive officer’s commencement of employment or promotion effective date).</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Fiscal 2026, there were no equity grants made to our executive officers during any period beginning four business days before the filing of a periodic report or current report disclosing material non-public information and ending one business day after the filing or furnishing of such report with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an employment agreement with Mr. Singh, the material terms of which are described below. Aside from Mr. Singh, we have not entered into an employment agreement with any of our NEOs. Instead, offer letters provided to Ms. Cote and Messrs. Tressler, Adler and Prince prior to the commencement of their employment by the Company contain certain compensation details.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Mr. Singh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41" w:name="page142"/>
    <w:bookmarkEnd w:id="141"/>
    <w:p>
      <w:pPr>
        <w:jc w:val="both"/>
        <w:spacing w:after="0" w:line="241" w:lineRule="auto"/>
        <w:rPr>
          <w:sz w:val="20"/>
          <w:szCs w:val="20"/>
          <w:color w:val="auto"/>
        </w:rPr>
      </w:pPr>
      <w:r>
        <w:rPr>
          <w:rFonts w:ascii="Times New Roman" w:cs="Times New Roman" w:eastAsia="Times New Roman" w:hAnsi="Times New Roman"/>
          <w:sz w:val="18"/>
          <w:szCs w:val="18"/>
          <w:color w:val="auto"/>
        </w:rPr>
        <w:t>We entered into an employment agreement with Mr. Singh on April 28, 2010. Under this employment agreement, as amended on June 22, 2016, Mr. Singh’s base salary was increased from $347,500 per year to $395,000 per year, effective June 16, 2016. The Compensation Committee subsequently adjusted Mr. Singh’s base annual salary to $477,000 effective in July 2018, to $498,000 effective in April 2019, to $550,000 effective in January 2021, to $600,000 effective in January 2022 and to $650,000 effective in October 2023. Under his employment agreement, Mr. Singh is eligible to receive an annual cash incentive bonus of up to 50% of his base salary. The award of Mr. Singh’s incentive cash bonus, if any, is at the discretion of the Compensation Committee. In the event we terminate Mr. Singh’s employment without cause, he is entitled to receive severance in an amount equal to:</w:t>
      </w:r>
    </w:p>
    <w:p>
      <w:pPr>
        <w:spacing w:after="0" w:line="265" w:lineRule="exact"/>
        <w:rPr>
          <w:sz w:val="20"/>
          <w:szCs w:val="20"/>
          <w:color w:val="auto"/>
        </w:rPr>
      </w:pPr>
    </w:p>
    <w:p>
      <w:pPr>
        <w:ind w:left="1260" w:hanging="411"/>
        <w:spacing w:after="0"/>
        <w:tabs>
          <w:tab w:leader="none" w:pos="1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157" w:lineRule="exact"/>
        <w:rPr>
          <w:rFonts w:ascii="Times New Roman" w:cs="Times New Roman" w:eastAsia="Times New Roman" w:hAnsi="Times New Roman"/>
          <w:sz w:val="18"/>
          <w:szCs w:val="18"/>
          <w:color w:val="auto"/>
        </w:rPr>
      </w:pPr>
    </w:p>
    <w:p>
      <w:pPr>
        <w:ind w:left="1260" w:right="640" w:hanging="411"/>
        <w:spacing w:after="0" w:line="266" w:lineRule="auto"/>
        <w:tabs>
          <w:tab w:leader="none" w:pos="1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the cash incentive bonus that the Board of Directors determines in good faith that Mr. Singh earned prior to such termination; and</w:t>
      </w:r>
    </w:p>
    <w:p>
      <w:pPr>
        <w:spacing w:after="0" w:line="121" w:lineRule="exact"/>
        <w:rPr>
          <w:rFonts w:ascii="Times New Roman" w:cs="Times New Roman" w:eastAsia="Times New Roman" w:hAnsi="Times New Roman"/>
          <w:sz w:val="18"/>
          <w:szCs w:val="18"/>
          <w:color w:val="auto"/>
        </w:rPr>
      </w:pPr>
    </w:p>
    <w:p>
      <w:pPr>
        <w:ind w:left="1260" w:right="640" w:hanging="411"/>
        <w:spacing w:after="0" w:line="266" w:lineRule="auto"/>
        <w:tabs>
          <w:tab w:leader="none" w:pos="1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required to reimburse him for Consolidated Omnibus Budget Reconciliation Act (COBRA) payments for continuation of his medical health benefits for a twelve-month period from such termination.</w:t>
      </w:r>
    </w:p>
    <w:p>
      <w:pPr>
        <w:spacing w:after="0" w:line="31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Provisions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his employment agreement, Mr. Singh is entitled to severance if he terminates his employment for good reason after a change of control. Under his agreement, “good reason” means any of the following events, if we affect the event without Mr. Singh’s consent (subject to our right to cure):</w:t>
      </w:r>
    </w:p>
    <w:p>
      <w:pPr>
        <w:ind w:left="1260" w:hanging="411"/>
        <w:spacing w:after="0"/>
        <w:tabs>
          <w:tab w:leader="none" w:pos="1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responsibility; or</w:t>
      </w:r>
    </w:p>
    <w:p>
      <w:pPr>
        <w:spacing w:after="0" w:line="171" w:lineRule="exact"/>
        <w:rPr>
          <w:rFonts w:ascii="Times New Roman" w:cs="Times New Roman" w:eastAsia="Times New Roman" w:hAnsi="Times New Roman"/>
          <w:sz w:val="18"/>
          <w:szCs w:val="18"/>
          <w:color w:val="auto"/>
        </w:rPr>
      </w:pPr>
    </w:p>
    <w:p>
      <w:pPr>
        <w:ind w:left="1260" w:right="540" w:hanging="411"/>
        <w:spacing w:after="0" w:line="266" w:lineRule="auto"/>
        <w:tabs>
          <w:tab w:leader="none" w:pos="1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base salary except for reductions that are comparable to reductions generally applicable to similarly situated executives the Company.</w:t>
      </w:r>
    </w:p>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event we terminate Mr. Singh without cause within twelve months of a change of control, his remaining unvested option shares become fully vested and exercisable. Upon a change of control in which the successor corporation does not assume Mr. Singh’s stock options, the stock options granted to him become fully vested and exercisable.</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 change of control occurs under Mr. Singh’s employment agreement when: (i) any “person” as such term is used in Sections 13(d) and 14(d) of the Exchange Act (other than the Company, a subsidiary, an affiliate, or a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following termination of employment, amounts are payable to Mr. Singh pursuant to his employment agreement, his eligibility for severance is conditioned on his having first signed a release agreement.</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estimated amount that could be paid by the Company to Mr. Singh, assuming that a change of control occurred on the last business day of our current fiscal year, is $650,000, excluding any pro-rated portion of an annual or periodic bonus and the imputed value of accelerated vesting of stock options, if any.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4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During Fiscal 2026, our Board utilized the following director compensation plan for the non-executive members of our Board (the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Plan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42" w:name="page143"/>
    <w:bookmarkEnd w:id="142"/>
    <w:p>
      <w:pPr>
        <w:ind w:left="6380"/>
        <w:spacing w:after="0"/>
        <w:rPr>
          <w:sz w:val="20"/>
          <w:szCs w:val="20"/>
          <w:color w:val="auto"/>
        </w:rPr>
      </w:pPr>
      <w:r>
        <w:rPr>
          <w:rFonts w:ascii="Times New Roman" w:cs="Times New Roman" w:eastAsia="Times New Roman" w:hAnsi="Times New Roman"/>
          <w:sz w:val="17"/>
          <w:szCs w:val="17"/>
          <w:b w:val="1"/>
          <w:bCs w:val="1"/>
          <w:color w:val="auto"/>
        </w:rPr>
        <w:t>Schedule of Director Fees During Fiscal 2026</w:t>
      </w:r>
    </w:p>
    <w:p>
      <w:pPr>
        <w:sectPr>
          <w:pgSz w:w="11900" w:h="16838" w:orient="portrait"/>
          <w:cols w:equalWidth="0" w:num="1">
            <w:col w:w="11240"/>
          </w:cols>
          <w:pgMar w:left="320" w:top="968"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5006340" cy="197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06340" cy="19748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Annual Retainer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Additional fee for Board Chair</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5006340" cy="1974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06340" cy="197485"/>
                    </a:xfrm>
                    <a:prstGeom prst="rect">
                      <a:avLst/>
                    </a:prstGeom>
                    <a:noFill/>
                  </pic:spPr>
                </pic:pic>
              </a:graphicData>
            </a:graphic>
          </wp:anchor>
        </w:drawing>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Chair</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006340" cy="1974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06340" cy="19748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006340" cy="1974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06340" cy="197485"/>
                    </a:xfrm>
                    <a:prstGeom prst="rect">
                      <a:avLst/>
                    </a:prstGeom>
                    <a:noFill/>
                  </pic:spPr>
                </pic:pic>
              </a:graphicData>
            </a:graphic>
          </wp:anchor>
        </w:drawing>
      </w:r>
    </w:p>
    <w:p>
      <w:pPr>
        <w:spacing w:after="0" w:line="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Member</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5006340" cy="196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06340" cy="196850"/>
                    </a:xfrm>
                    <a:prstGeom prst="rect">
                      <a:avLst/>
                    </a:prstGeom>
                    <a:noFill/>
                  </pic:spPr>
                </pic:pic>
              </a:graphicData>
            </a:graphic>
          </wp:anchor>
        </w:drawing>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Chair</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006340" cy="240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06340" cy="240030"/>
                    </a:xfrm>
                    <a:prstGeom prst="rect">
                      <a:avLst/>
                    </a:prstGeom>
                    <a:noFill/>
                  </pic:spPr>
                </pic:pic>
              </a:graphicData>
            </a:graphic>
          </wp:anchor>
        </w:drawing>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(1)</w:t>
      </w:r>
    </w:p>
    <w:p>
      <w:pPr>
        <w:ind w:left="440"/>
        <w:spacing w:after="0"/>
        <w:rPr>
          <w:sz w:val="20"/>
          <w:szCs w:val="20"/>
          <w:color w:val="auto"/>
        </w:rPr>
      </w:pPr>
      <w:r>
        <w:rPr>
          <w:rFonts w:ascii="Times New Roman" w:cs="Times New Roman" w:eastAsia="Times New Roman" w:hAnsi="Times New Roman"/>
          <w:sz w:val="18"/>
          <w:szCs w:val="18"/>
          <w:color w:val="auto"/>
        </w:rPr>
        <w:t>Cash fees payable in quarterly installments.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9"/>
          <w:szCs w:val="9"/>
          <w:b w:val="1"/>
          <w:bCs w:val="1"/>
          <w:color w:val="auto"/>
        </w:rPr>
        <w:t>(1)</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ind w:left="900" w:hanging="750"/>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90" w:lineRule="exact"/>
        <w:rPr>
          <w:sz w:val="20"/>
          <w:szCs w:val="20"/>
          <w:color w:val="auto"/>
        </w:rPr>
      </w:pPr>
    </w:p>
    <w:p>
      <w:pPr>
        <w:ind w:left="900" w:hanging="750"/>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w:t>
      </w:r>
    </w:p>
    <w:p>
      <w:pPr>
        <w:spacing w:after="0" w:line="200" w:lineRule="exact"/>
        <w:rPr>
          <w:sz w:val="20"/>
          <w:szCs w:val="20"/>
          <w:color w:val="auto"/>
        </w:rPr>
      </w:pPr>
    </w:p>
    <w:p>
      <w:pPr>
        <w:spacing w:after="0" w:line="214" w:lineRule="exact"/>
        <w:rPr>
          <w:sz w:val="20"/>
          <w:szCs w:val="20"/>
          <w:color w:val="auto"/>
        </w:rPr>
      </w:pPr>
    </w:p>
    <w:p>
      <w:pPr>
        <w:ind w:left="900" w:hanging="750"/>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w:t>
      </w:r>
    </w:p>
    <w:p>
      <w:pPr>
        <w:spacing w:after="0" w:line="104" w:lineRule="exact"/>
        <w:rPr>
          <w:sz w:val="20"/>
          <w:szCs w:val="20"/>
          <w:color w:val="auto"/>
        </w:rPr>
      </w:pPr>
    </w:p>
    <w:p>
      <w:pPr>
        <w:ind w:left="900" w:hanging="750"/>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w:t>
      </w:r>
    </w:p>
    <w:p>
      <w:pPr>
        <w:spacing w:after="0" w:line="200" w:lineRule="exact"/>
        <w:rPr>
          <w:sz w:val="20"/>
          <w:szCs w:val="20"/>
          <w:color w:val="auto"/>
        </w:rPr>
      </w:pPr>
    </w:p>
    <w:p>
      <w:pPr>
        <w:spacing w:after="0" w:line="214" w:lineRule="exact"/>
        <w:rPr>
          <w:sz w:val="20"/>
          <w:szCs w:val="20"/>
          <w:color w:val="auto"/>
        </w:rPr>
      </w:pPr>
    </w:p>
    <w:p>
      <w:pPr>
        <w:ind w:left="900" w:hanging="750"/>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w:t>
      </w:r>
    </w:p>
    <w:p>
      <w:pPr>
        <w:spacing w:after="0" w:line="104" w:lineRule="exact"/>
        <w:rPr>
          <w:sz w:val="20"/>
          <w:szCs w:val="20"/>
          <w:color w:val="auto"/>
        </w:rPr>
      </w:pPr>
    </w:p>
    <w:p>
      <w:pPr>
        <w:ind w:left="1000" w:hanging="850"/>
        <w:spacing w:after="0"/>
        <w:tabs>
          <w:tab w:leader="none" w:pos="10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5,000</w:t>
      </w:r>
    </w:p>
    <w:p>
      <w:pPr>
        <w:spacing w:after="0" w:line="200" w:lineRule="exact"/>
        <w:rPr>
          <w:sz w:val="20"/>
          <w:szCs w:val="20"/>
          <w:color w:val="auto"/>
        </w:rPr>
      </w:pPr>
    </w:p>
    <w:p>
      <w:pPr>
        <w:spacing w:after="0" w:line="226" w:lineRule="exact"/>
        <w:rPr>
          <w:sz w:val="20"/>
          <w:szCs w:val="20"/>
          <w:color w:val="auto"/>
        </w:rPr>
      </w:pPr>
    </w:p>
    <w:p>
      <w:pPr>
        <w:ind w:left="900" w:hanging="750"/>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w:t>
      </w:r>
    </w:p>
    <w:p>
      <w:pPr>
        <w:spacing w:after="0" w:line="103" w:lineRule="exact"/>
        <w:rPr>
          <w:rFonts w:ascii="Times New Roman" w:cs="Times New Roman" w:eastAsia="Times New Roman" w:hAnsi="Times New Roman"/>
          <w:sz w:val="18"/>
          <w:szCs w:val="18"/>
          <w:color w:val="auto"/>
        </w:rPr>
      </w:pPr>
    </w:p>
    <w:p>
      <w:pPr>
        <w:ind w:left="900" w:hanging="750"/>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9"/>
          <w:szCs w:val="9"/>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-142240</wp:posOffset>
            </wp:positionV>
            <wp:extent cx="3429000" cy="23914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00" cy="2391410"/>
                    </a:xfrm>
                    <a:prstGeom prst="rect">
                      <a:avLst/>
                    </a:prstGeom>
                    <a:noFill/>
                  </pic:spPr>
                </pic:pic>
              </a:graphicData>
            </a:graphic>
          </wp:anchor>
        </w:drawing>
      </w:r>
    </w:p>
    <w:p>
      <w:pPr>
        <w:spacing w:after="0" w:line="47" w:lineRule="exact"/>
        <w:rPr>
          <w:sz w:val="20"/>
          <w:szCs w:val="20"/>
          <w:color w:val="auto"/>
        </w:rPr>
      </w:pPr>
    </w:p>
    <w:p>
      <w:pPr>
        <w:ind w:right="480"/>
        <w:spacing w:after="0" w:line="251" w:lineRule="auto"/>
        <w:rPr>
          <w:sz w:val="20"/>
          <w:szCs w:val="20"/>
          <w:color w:val="auto"/>
        </w:rPr>
      </w:pPr>
      <w:r>
        <w:rPr>
          <w:rFonts w:ascii="Times New Roman" w:cs="Times New Roman" w:eastAsia="Times New Roman" w:hAnsi="Times New Roman"/>
          <w:sz w:val="17"/>
          <w:szCs w:val="17"/>
          <w:color w:val="auto"/>
        </w:rPr>
        <w:t>Non-executive members of our Board will be entitled to the following equity awards: (i) a one-time grant of stock options upon appointment to the Board equal to 2x the annual grant otherwise payable to directors, and (ii) an annual grant of stock options equal to 0.046% of the Company's issued and outstanding common stock on the grant date. Annual awards will be granted to directors following the Company's annual meeting of stockholders.</w:t>
      </w:r>
    </w:p>
    <w:p>
      <w:pPr>
        <w:spacing w:after="0" w:line="1502" w:lineRule="exact"/>
        <w:rPr>
          <w:sz w:val="20"/>
          <w:szCs w:val="20"/>
          <w:color w:val="auto"/>
        </w:rPr>
      </w:pPr>
    </w:p>
    <w:p>
      <w:pPr>
        <w:sectPr>
          <w:pgSz w:w="11900" w:h="16838" w:orient="portrait"/>
          <w:cols w:equalWidth="0" w:num="3">
            <w:col w:w="5460" w:space="720"/>
            <w:col w:w="1400" w:space="340"/>
            <w:col w:w="3320"/>
          </w:cols>
          <w:pgMar w:left="320" w:top="968" w:right="339" w:bottom="1440" w:gutter="0" w:footer="0" w:header="0"/>
          <w:type w:val="continuous"/>
        </w:sectPr>
      </w:pPr>
    </w:p>
    <w:p>
      <w:pPr>
        <w:ind w:left="440" w:right="1020" w:hanging="414"/>
        <w:spacing w:after="0" w:line="234" w:lineRule="auto"/>
        <w:tabs>
          <w:tab w:leader="none" w:pos="440"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All Awards issued pursuant to the Director Compensation Plan will be issued pursuant to the 2019 Plan or a successor plan, if any. Each Award issued under the Director Compensation Plan will vest in equal monthly installments over a 12-month period beginning on the date of issuance.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 Director Compensation Table</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62"/>
        </w:trPr>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Fees Paid in</w:t>
            </w:r>
          </w:p>
        </w:tc>
        <w:tc>
          <w:tcPr>
            <w:tcW w:w="2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Option Awards </w:t>
            </w:r>
            <w:r>
              <w:rPr>
                <w:rFonts w:ascii="Times New Roman" w:cs="Times New Roman" w:eastAsia="Times New Roman" w:hAnsi="Times New Roman"/>
                <w:sz w:val="23"/>
                <w:szCs w:val="23"/>
                <w:b w:val="1"/>
                <w:bCs w:val="1"/>
                <w:color w:val="auto"/>
                <w:vertAlign w:val="superscript"/>
              </w:rPr>
              <w:t>(2) (3)</w:t>
            </w:r>
          </w:p>
        </w:tc>
        <w:tc>
          <w:tcPr>
            <w:tcW w:w="160" w:type="dxa"/>
            <w:vAlign w:val="bottom"/>
          </w:tcPr>
          <w:p>
            <w:pPr>
              <w:spacing w:after="0"/>
              <w:rPr>
                <w:sz w:val="24"/>
                <w:szCs w:val="24"/>
                <w:color w:val="auto"/>
              </w:rPr>
            </w:pPr>
          </w:p>
        </w:tc>
        <w:tc>
          <w:tcPr>
            <w:tcW w:w="20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3"/>
                <w:szCs w:val="23"/>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1"/>
              </w:rPr>
              <w:t xml:space="preserve">Cash </w:t>
            </w:r>
            <w:r>
              <w:rPr>
                <w:rFonts w:ascii="Times New Roman" w:cs="Times New Roman" w:eastAsia="Times New Roman" w:hAnsi="Times New Roman"/>
                <w:sz w:val="23"/>
                <w:szCs w:val="23"/>
                <w:b w:val="1"/>
                <w:bCs w:val="1"/>
                <w:color w:val="auto"/>
                <w:w w:val="91"/>
                <w:vertAlign w:val="superscript"/>
              </w:rPr>
              <w:t>(1)</w:t>
            </w: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440" w:type="dxa"/>
            <w:vAlign w:val="bottom"/>
          </w:tcPr>
          <w:p>
            <w:pPr>
              <w:spacing w:after="0"/>
              <w:rPr>
                <w:sz w:val="23"/>
                <w:szCs w:val="23"/>
                <w:color w:val="auto"/>
              </w:rPr>
            </w:pPr>
          </w:p>
        </w:tc>
        <w:tc>
          <w:tcPr>
            <w:tcW w:w="14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6"/>
        </w:trPr>
        <w:tc>
          <w:tcPr>
            <w:tcW w:w="3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56"/>
        </w:trPr>
        <w:tc>
          <w:tcPr>
            <w:tcW w:w="3320" w:type="dxa"/>
            <w:vAlign w:val="bottom"/>
            <w:shd w:val="clear" w:color="auto" w:fill="C0E6F5"/>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Margaret M. FitzPatrick </w:t>
            </w:r>
            <w:r>
              <w:rPr>
                <w:rFonts w:ascii="Times New Roman" w:cs="Times New Roman" w:eastAsia="Times New Roman" w:hAnsi="Times New Roman"/>
                <w:sz w:val="23"/>
                <w:szCs w:val="23"/>
                <w:color w:val="auto"/>
                <w:vertAlign w:val="superscript"/>
              </w:rPr>
              <w:t>(4)</w:t>
            </w:r>
          </w:p>
        </w:tc>
        <w:tc>
          <w:tcPr>
            <w:tcW w:w="14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340" w:type="dxa"/>
            <w:vAlign w:val="bottom"/>
            <w:shd w:val="clear" w:color="auto" w:fill="C0E6F5"/>
          </w:tcPr>
          <w:p>
            <w:pPr>
              <w:spacing w:after="0"/>
              <w:rPr>
                <w:sz w:val="22"/>
                <w:szCs w:val="22"/>
                <w:color w:val="auto"/>
              </w:rPr>
            </w:pPr>
          </w:p>
        </w:tc>
        <w:tc>
          <w:tcPr>
            <w:tcW w:w="520" w:type="dxa"/>
            <w:vAlign w:val="bottom"/>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580" w:type="dxa"/>
            <w:vAlign w:val="bottom"/>
            <w:shd w:val="clear" w:color="auto" w:fill="C0E6F5"/>
          </w:tcPr>
          <w:p>
            <w:pPr>
              <w:spacing w:after="0"/>
              <w:rPr>
                <w:sz w:val="22"/>
                <w:szCs w:val="22"/>
                <w:color w:val="auto"/>
              </w:rPr>
            </w:pPr>
          </w:p>
        </w:tc>
        <w:tc>
          <w:tcPr>
            <w:tcW w:w="16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0E6F5"/>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0E6F5"/>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151,697</w:t>
            </w:r>
          </w:p>
        </w:tc>
      </w:tr>
      <w:tr>
        <w:trPr>
          <w:trHeight w:val="257"/>
        </w:trPr>
        <w:tc>
          <w:tcPr>
            <w:tcW w:w="3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Ann M. Cunningham </w:t>
            </w:r>
            <w:r>
              <w:rPr>
                <w:rFonts w:ascii="Times New Roman" w:cs="Times New Roman" w:eastAsia="Times New Roman" w:hAnsi="Times New Roman"/>
                <w:sz w:val="23"/>
                <w:szCs w:val="23"/>
                <w:color w:val="auto"/>
                <w:vertAlign w:val="superscript"/>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22"/>
                <w:szCs w:val="2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5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109,197</w:t>
            </w:r>
          </w:p>
        </w:tc>
      </w:tr>
      <w:tr>
        <w:trPr>
          <w:trHeight w:val="257"/>
        </w:trPr>
        <w:tc>
          <w:tcPr>
            <w:tcW w:w="3320" w:type="dxa"/>
            <w:vAlign w:val="bottom"/>
            <w:shd w:val="clear" w:color="auto" w:fill="C0E6F5"/>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Joanne Curley </w:t>
            </w:r>
            <w:r>
              <w:rPr>
                <w:rFonts w:ascii="Times New Roman" w:cs="Times New Roman" w:eastAsia="Times New Roman" w:hAnsi="Times New Roman"/>
                <w:sz w:val="23"/>
                <w:szCs w:val="23"/>
                <w:color w:val="auto"/>
                <w:vertAlign w:val="superscript"/>
              </w:rPr>
              <w:t>(6)</w:t>
            </w:r>
          </w:p>
        </w:tc>
        <w:tc>
          <w:tcPr>
            <w:tcW w:w="14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340" w:type="dxa"/>
            <w:vAlign w:val="bottom"/>
            <w:shd w:val="clear" w:color="auto" w:fill="C0E6F5"/>
          </w:tcPr>
          <w:p>
            <w:pPr>
              <w:spacing w:after="0"/>
              <w:rPr>
                <w:sz w:val="22"/>
                <w:szCs w:val="22"/>
                <w:color w:val="auto"/>
              </w:rPr>
            </w:pPr>
          </w:p>
        </w:tc>
        <w:tc>
          <w:tcPr>
            <w:tcW w:w="520" w:type="dxa"/>
            <w:vAlign w:val="bottom"/>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580" w:type="dxa"/>
            <w:vAlign w:val="bottom"/>
            <w:shd w:val="clear" w:color="auto" w:fill="C0E6F5"/>
          </w:tcPr>
          <w:p>
            <w:pPr>
              <w:spacing w:after="0"/>
              <w:rPr>
                <w:sz w:val="22"/>
                <w:szCs w:val="22"/>
                <w:color w:val="auto"/>
              </w:rPr>
            </w:pPr>
          </w:p>
        </w:tc>
        <w:tc>
          <w:tcPr>
            <w:tcW w:w="16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0E6F5"/>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0E6F5"/>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119,197</w:t>
            </w:r>
          </w:p>
        </w:tc>
      </w:tr>
      <w:tr>
        <w:trPr>
          <w:trHeight w:val="256"/>
        </w:trPr>
        <w:tc>
          <w:tcPr>
            <w:tcW w:w="3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Mary L. Rotunno </w:t>
            </w:r>
            <w:r>
              <w:rPr>
                <w:rFonts w:ascii="Times New Roman" w:cs="Times New Roman" w:eastAsia="Times New Roman" w:hAnsi="Times New Roman"/>
                <w:sz w:val="23"/>
                <w:szCs w:val="23"/>
                <w:color w:val="auto"/>
                <w:vertAlign w:val="superscript"/>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340" w:type="dxa"/>
            <w:vAlign w:val="bottom"/>
          </w:tcPr>
          <w:p>
            <w:pPr>
              <w:spacing w:after="0"/>
              <w:rPr>
                <w:sz w:val="22"/>
                <w:szCs w:val="2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5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129,197</w:t>
            </w:r>
          </w:p>
        </w:tc>
      </w:tr>
      <w:tr>
        <w:trPr>
          <w:trHeight w:val="257"/>
        </w:trPr>
        <w:tc>
          <w:tcPr>
            <w:tcW w:w="3320" w:type="dxa"/>
            <w:vAlign w:val="bottom"/>
            <w:shd w:val="clear" w:color="auto" w:fill="C0E6F5"/>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Jon S. Saxe </w:t>
            </w:r>
            <w:r>
              <w:rPr>
                <w:rFonts w:ascii="Times New Roman" w:cs="Times New Roman" w:eastAsia="Times New Roman" w:hAnsi="Times New Roman"/>
                <w:sz w:val="23"/>
                <w:szCs w:val="23"/>
                <w:color w:val="auto"/>
                <w:vertAlign w:val="superscript"/>
              </w:rPr>
              <w:t>(8)</w:t>
            </w:r>
          </w:p>
        </w:tc>
        <w:tc>
          <w:tcPr>
            <w:tcW w:w="14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shd w:val="clear" w:color="auto" w:fill="C0E6F5"/>
          </w:tcPr>
          <w:p>
            <w:pPr>
              <w:spacing w:after="0"/>
              <w:rPr>
                <w:sz w:val="22"/>
                <w:szCs w:val="22"/>
                <w:color w:val="auto"/>
              </w:rPr>
            </w:pPr>
          </w:p>
        </w:tc>
        <w:tc>
          <w:tcPr>
            <w:tcW w:w="520" w:type="dxa"/>
            <w:vAlign w:val="bottom"/>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580" w:type="dxa"/>
            <w:vAlign w:val="bottom"/>
            <w:shd w:val="clear" w:color="auto" w:fill="C0E6F5"/>
          </w:tcPr>
          <w:p>
            <w:pPr>
              <w:spacing w:after="0"/>
              <w:rPr>
                <w:sz w:val="22"/>
                <w:szCs w:val="22"/>
                <w:color w:val="auto"/>
              </w:rPr>
            </w:pPr>
          </w:p>
        </w:tc>
        <w:tc>
          <w:tcPr>
            <w:tcW w:w="16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0E6F5"/>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0E6F5"/>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134,197</w:t>
            </w:r>
          </w:p>
        </w:tc>
      </w:tr>
      <w:tr>
        <w:trPr>
          <w:trHeight w:val="256"/>
        </w:trPr>
        <w:tc>
          <w:tcPr>
            <w:tcW w:w="3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Jerry B. Gin </w:t>
            </w:r>
            <w:r>
              <w:rPr>
                <w:rFonts w:ascii="Times New Roman" w:cs="Times New Roman" w:eastAsia="Times New Roman" w:hAnsi="Times New Roman"/>
                <w:sz w:val="23"/>
                <w:szCs w:val="23"/>
                <w:color w:val="auto"/>
                <w:vertAlign w:val="superscript"/>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tcPr>
          <w:p>
            <w:pPr>
              <w:spacing w:after="0"/>
              <w:rPr>
                <w:sz w:val="22"/>
                <w:szCs w:val="2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57"/>
        </w:trPr>
        <w:tc>
          <w:tcPr>
            <w:tcW w:w="3320" w:type="dxa"/>
            <w:vAlign w:val="bottom"/>
            <w:shd w:val="clear" w:color="auto" w:fill="C0E6F5"/>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Paul R. Edick </w:t>
            </w:r>
            <w:r>
              <w:rPr>
                <w:rFonts w:ascii="Times New Roman" w:cs="Times New Roman" w:eastAsia="Times New Roman" w:hAnsi="Times New Roman"/>
                <w:sz w:val="23"/>
                <w:szCs w:val="23"/>
                <w:color w:val="auto"/>
                <w:vertAlign w:val="superscript"/>
              </w:rPr>
              <w:t>(10)</w:t>
            </w:r>
          </w:p>
        </w:tc>
        <w:tc>
          <w:tcPr>
            <w:tcW w:w="14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20,145</w:t>
            </w:r>
          </w:p>
        </w:tc>
        <w:tc>
          <w:tcPr>
            <w:tcW w:w="340" w:type="dxa"/>
            <w:vAlign w:val="bottom"/>
            <w:shd w:val="clear" w:color="auto" w:fill="C0E6F5"/>
          </w:tcPr>
          <w:p>
            <w:pPr>
              <w:spacing w:after="0"/>
              <w:rPr>
                <w:sz w:val="22"/>
                <w:szCs w:val="22"/>
                <w:color w:val="auto"/>
              </w:rPr>
            </w:pPr>
          </w:p>
        </w:tc>
        <w:tc>
          <w:tcPr>
            <w:tcW w:w="520" w:type="dxa"/>
            <w:vAlign w:val="bottom"/>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131,187</w:t>
            </w:r>
          </w:p>
        </w:tc>
        <w:tc>
          <w:tcPr>
            <w:tcW w:w="580" w:type="dxa"/>
            <w:vAlign w:val="bottom"/>
            <w:shd w:val="clear" w:color="auto" w:fill="C0E6F5"/>
          </w:tcPr>
          <w:p>
            <w:pPr>
              <w:spacing w:after="0"/>
              <w:rPr>
                <w:sz w:val="22"/>
                <w:szCs w:val="22"/>
                <w:color w:val="auto"/>
              </w:rPr>
            </w:pPr>
          </w:p>
        </w:tc>
        <w:tc>
          <w:tcPr>
            <w:tcW w:w="16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0E6F5"/>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0E6F5"/>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151,332</w:t>
            </w:r>
          </w:p>
        </w:tc>
      </w:tr>
    </w:tbl>
    <w:p>
      <w:pPr>
        <w:spacing w:after="0" w:line="319" w:lineRule="exact"/>
        <w:rPr>
          <w:sz w:val="20"/>
          <w:szCs w:val="20"/>
          <w:color w:val="auto"/>
        </w:rPr>
      </w:pPr>
    </w:p>
    <w:p>
      <w:pPr>
        <w:ind w:firstLine="8"/>
        <w:spacing w:after="0" w:line="266" w:lineRule="auto"/>
        <w:tabs>
          <w:tab w:leader="none" w:pos="22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amounts shown in the table above represent fees for service on our Board, as well as service on our Audit Committee, Compensation Committee, and/or Corporate Governance and Nominating Committee during Fiscal 2026, as applicable, which amounts were paid in full during Fiscal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26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 Grant</w:t>
            </w:r>
          </w:p>
        </w:tc>
      </w:tr>
      <w:tr>
        <w:trPr>
          <w:trHeight w:val="257"/>
        </w:trPr>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9/9/25</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10/27/25</w:t>
            </w:r>
          </w:p>
        </w:tc>
      </w:tr>
      <w:tr>
        <w:trPr>
          <w:trHeight w:val="27"/>
        </w:trPr>
        <w:tc>
          <w:tcPr>
            <w:tcW w:w="7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6"/>
        </w:trPr>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57"/>
        </w:trPr>
        <w:tc>
          <w:tcPr>
            <w:tcW w:w="7060" w:type="dxa"/>
            <w:vAlign w:val="bottom"/>
            <w:shd w:val="clear" w:color="auto" w:fill="C0E6F5"/>
          </w:tcPr>
          <w:p>
            <w:pPr>
              <w:ind w:left="20"/>
              <w:spacing w:after="0"/>
              <w:rPr>
                <w:sz w:val="20"/>
                <w:szCs w:val="20"/>
                <w:color w:val="auto"/>
              </w:rPr>
            </w:pPr>
            <w:r>
              <w:rPr>
                <w:rFonts w:ascii="Times New Roman" w:cs="Times New Roman" w:eastAsia="Times New Roman" w:hAnsi="Times New Roman"/>
                <w:sz w:val="18"/>
                <w:szCs w:val="18"/>
                <w:b w:val="1"/>
                <w:bCs w:val="1"/>
                <w:color w:val="auto"/>
              </w:rPr>
              <w:t>Option Shares Granted</w:t>
            </w:r>
          </w:p>
        </w:tc>
        <w:tc>
          <w:tcPr>
            <w:tcW w:w="240" w:type="dxa"/>
            <w:vAlign w:val="bottom"/>
            <w:shd w:val="clear" w:color="auto" w:fill="C0E6F5"/>
          </w:tcPr>
          <w:p>
            <w:pPr>
              <w:spacing w:after="0"/>
              <w:rPr>
                <w:sz w:val="22"/>
                <w:szCs w:val="22"/>
                <w:color w:val="auto"/>
              </w:rPr>
            </w:pPr>
          </w:p>
        </w:tc>
        <w:tc>
          <w:tcPr>
            <w:tcW w:w="1560" w:type="dxa"/>
            <w:vAlign w:val="bottom"/>
            <w:shd w:val="clear" w:color="auto" w:fill="C0E6F5"/>
          </w:tcPr>
          <w:p>
            <w:pPr>
              <w:spacing w:after="0"/>
              <w:rPr>
                <w:sz w:val="22"/>
                <w:szCs w:val="22"/>
                <w:color w:val="auto"/>
              </w:rPr>
            </w:pPr>
          </w:p>
        </w:tc>
        <w:tc>
          <w:tcPr>
            <w:tcW w:w="260" w:type="dxa"/>
            <w:vAlign w:val="bottom"/>
            <w:shd w:val="clear" w:color="auto" w:fill="C0E6F5"/>
          </w:tcPr>
          <w:p>
            <w:pPr>
              <w:spacing w:after="0"/>
              <w:rPr>
                <w:sz w:val="22"/>
                <w:szCs w:val="22"/>
                <w:color w:val="auto"/>
              </w:rPr>
            </w:pPr>
          </w:p>
        </w:tc>
        <w:tc>
          <w:tcPr>
            <w:tcW w:w="260" w:type="dxa"/>
            <w:vAlign w:val="bottom"/>
            <w:shd w:val="clear" w:color="auto" w:fill="C0E6F5"/>
          </w:tcPr>
          <w:p>
            <w:pPr>
              <w:spacing w:after="0"/>
              <w:rPr>
                <w:sz w:val="22"/>
                <w:szCs w:val="22"/>
                <w:color w:val="auto"/>
              </w:rPr>
            </w:pPr>
          </w:p>
        </w:tc>
        <w:tc>
          <w:tcPr>
            <w:tcW w:w="1600" w:type="dxa"/>
            <w:vAlign w:val="bottom"/>
            <w:shd w:val="clear" w:color="auto" w:fill="C0E6F5"/>
          </w:tcPr>
          <w:p>
            <w:pPr>
              <w:spacing w:after="0"/>
              <w:rPr>
                <w:sz w:val="22"/>
                <w:szCs w:val="22"/>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FitzPatrick</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7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7060" w:type="dxa"/>
            <w:vAlign w:val="bottom"/>
            <w:tcBorders>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Ms. Cunningham</w:t>
            </w:r>
          </w:p>
        </w:tc>
        <w:tc>
          <w:tcPr>
            <w:tcW w:w="240" w:type="dxa"/>
            <w:vAlign w:val="bottom"/>
            <w:tcBorders>
              <w:bottom w:val="single" w:sz="8" w:color="C0E6F5"/>
            </w:tcBorders>
            <w:shd w:val="clear" w:color="auto" w:fill="C0E6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260" w:type="dxa"/>
            <w:vAlign w:val="bottom"/>
            <w:tcBorders>
              <w:bottom w:val="single" w:sz="8" w:color="C0E6F5"/>
            </w:tcBorders>
            <w:shd w:val="clear" w:color="auto" w:fill="C0E6F5"/>
          </w:tcPr>
          <w:p>
            <w:pPr>
              <w:spacing w:after="0"/>
              <w:rPr>
                <w:sz w:val="20"/>
                <w:szCs w:val="20"/>
                <w:color w:val="auto"/>
              </w:rPr>
            </w:pPr>
          </w:p>
        </w:tc>
        <w:tc>
          <w:tcPr>
            <w:tcW w:w="260" w:type="dxa"/>
            <w:vAlign w:val="bottom"/>
            <w:tcBorders>
              <w:bottom w:val="single" w:sz="8" w:color="C0E6F5"/>
            </w:tcBorders>
            <w:shd w:val="clear" w:color="auto" w:fill="C0E6F5"/>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Curley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7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7060" w:type="dxa"/>
            <w:vAlign w:val="bottom"/>
            <w:tcBorders>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Ms. Rotunno</w:t>
            </w:r>
          </w:p>
        </w:tc>
        <w:tc>
          <w:tcPr>
            <w:tcW w:w="240" w:type="dxa"/>
            <w:vAlign w:val="bottom"/>
            <w:tcBorders>
              <w:bottom w:val="single" w:sz="8" w:color="C0E6F5"/>
            </w:tcBorders>
            <w:shd w:val="clear" w:color="auto" w:fill="C0E6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260" w:type="dxa"/>
            <w:vAlign w:val="bottom"/>
            <w:tcBorders>
              <w:bottom w:val="single" w:sz="8" w:color="C0E6F5"/>
            </w:tcBorders>
            <w:shd w:val="clear" w:color="auto" w:fill="C0E6F5"/>
          </w:tcPr>
          <w:p>
            <w:pPr>
              <w:spacing w:after="0"/>
              <w:rPr>
                <w:sz w:val="20"/>
                <w:szCs w:val="20"/>
                <w:color w:val="auto"/>
              </w:rPr>
            </w:pPr>
          </w:p>
        </w:tc>
        <w:tc>
          <w:tcPr>
            <w:tcW w:w="260" w:type="dxa"/>
            <w:vAlign w:val="bottom"/>
            <w:tcBorders>
              <w:bottom w:val="single" w:sz="8" w:color="C0E6F5"/>
            </w:tcBorders>
            <w:shd w:val="clear" w:color="auto" w:fill="C0E6F5"/>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Saxe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7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4"/>
        </w:trPr>
        <w:tc>
          <w:tcPr>
            <w:tcW w:w="7060" w:type="dxa"/>
            <w:vAlign w:val="bottom"/>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Mr. Edick</w:t>
            </w:r>
          </w:p>
        </w:tc>
        <w:tc>
          <w:tcPr>
            <w:tcW w:w="240" w:type="dxa"/>
            <w:vAlign w:val="bottom"/>
            <w:shd w:val="clear" w:color="auto" w:fill="C0E6F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0E6F5"/>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0E6F5"/>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35,200</w:t>
            </w:r>
          </w:p>
        </w:tc>
      </w:tr>
      <w:tr>
        <w:trPr>
          <w:trHeight w:val="22"/>
        </w:trPr>
        <w:tc>
          <w:tcPr>
            <w:tcW w:w="7060" w:type="dxa"/>
            <w:vAlign w:val="bottom"/>
            <w:shd w:val="clear" w:color="auto" w:fill="C0E6F5"/>
          </w:tcPr>
          <w:p>
            <w:pPr>
              <w:spacing w:after="0" w:line="20" w:lineRule="exact"/>
              <w:rPr>
                <w:sz w:val="1"/>
                <w:szCs w:val="1"/>
                <w:color w:val="auto"/>
              </w:rPr>
            </w:pPr>
          </w:p>
        </w:tc>
        <w:tc>
          <w:tcPr>
            <w:tcW w:w="240" w:type="dxa"/>
            <w:vAlign w:val="bottom"/>
            <w:shd w:val="clear" w:color="auto" w:fill="C0E6F5"/>
          </w:tcPr>
          <w:p>
            <w:pPr>
              <w:spacing w:after="0" w:line="20" w:lineRule="exact"/>
              <w:rPr>
                <w:sz w:val="1"/>
                <w:szCs w:val="1"/>
                <w:color w:val="auto"/>
              </w:rPr>
            </w:pPr>
          </w:p>
        </w:tc>
        <w:tc>
          <w:tcPr>
            <w:tcW w:w="1560" w:type="dxa"/>
            <w:vAlign w:val="bottom"/>
            <w:shd w:val="clear" w:color="auto" w:fill="C0E6F5"/>
          </w:tcPr>
          <w:p>
            <w:pPr>
              <w:spacing w:after="0" w:line="20" w:lineRule="exact"/>
              <w:rPr>
                <w:sz w:val="1"/>
                <w:szCs w:val="1"/>
                <w:color w:val="auto"/>
              </w:rPr>
            </w:pPr>
          </w:p>
        </w:tc>
        <w:tc>
          <w:tcPr>
            <w:tcW w:w="260" w:type="dxa"/>
            <w:vAlign w:val="bottom"/>
            <w:shd w:val="clear" w:color="auto" w:fill="C0E6F5"/>
          </w:tcPr>
          <w:p>
            <w:pPr>
              <w:spacing w:after="0" w:line="20" w:lineRule="exact"/>
              <w:rPr>
                <w:sz w:val="1"/>
                <w:szCs w:val="1"/>
                <w:color w:val="auto"/>
              </w:rPr>
            </w:pPr>
          </w:p>
        </w:tc>
        <w:tc>
          <w:tcPr>
            <w:tcW w:w="260" w:type="dxa"/>
            <w:vAlign w:val="bottom"/>
            <w:shd w:val="clear" w:color="auto" w:fill="C0E6F5"/>
          </w:tcPr>
          <w:p>
            <w:pPr>
              <w:spacing w:after="0" w:line="20" w:lineRule="exact"/>
              <w:rPr>
                <w:sz w:val="1"/>
                <w:szCs w:val="1"/>
                <w:color w:val="auto"/>
              </w:rPr>
            </w:pPr>
          </w:p>
        </w:tc>
        <w:tc>
          <w:tcPr>
            <w:tcW w:w="1600" w:type="dxa"/>
            <w:vAlign w:val="bottom"/>
            <w:shd w:val="clear" w:color="auto" w:fill="C0E6F5"/>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143" w:name="page144"/>
    <w:bookmarkEnd w:id="143"/>
    <w:p>
      <w:pPr>
        <w:ind w:left="20"/>
        <w:spacing w:after="0"/>
        <w:rPr>
          <w:sz w:val="20"/>
          <w:szCs w:val="20"/>
          <w:color w:val="auto"/>
        </w:rPr>
      </w:pPr>
      <w:r>
        <w:rPr>
          <w:rFonts w:ascii="Times New Roman" w:cs="Times New Roman" w:eastAsia="Times New Roman" w:hAnsi="Times New Roman"/>
          <w:sz w:val="18"/>
          <w:szCs w:val="18"/>
          <w:b w:val="1"/>
          <w:bCs w:val="1"/>
          <w:color w:val="auto"/>
        </w:rPr>
        <w:t>Option Award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696912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69125" cy="16319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FitzPatrick</w:t>
            </w:r>
          </w:p>
        </w:tc>
        <w:tc>
          <w:tcPr>
            <w:tcW w:w="3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59,197</w:t>
            </w:r>
          </w:p>
        </w:tc>
        <w:tc>
          <w:tcPr>
            <w:tcW w:w="8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4620" w:type="dxa"/>
            <w:vAlign w:val="bottom"/>
            <w:tcBorders>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Ms. Cunningham</w:t>
            </w:r>
          </w:p>
        </w:tc>
        <w:tc>
          <w:tcPr>
            <w:tcW w:w="3060" w:type="dxa"/>
            <w:vAlign w:val="bottom"/>
            <w:tcBorders>
              <w:bottom w:val="single" w:sz="8" w:color="C0E6F5"/>
            </w:tcBorders>
            <w:shd w:val="clear" w:color="auto" w:fill="C0E6F5"/>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0E6F5"/>
            </w:tcBorders>
            <w:shd w:val="clear" w:color="auto" w:fill="C0E6F5"/>
          </w:tcPr>
          <w:p>
            <w:pPr>
              <w:jc w:val="right"/>
              <w:ind w:right="110"/>
              <w:spacing w:after="0"/>
              <w:rPr>
                <w:sz w:val="20"/>
                <w:szCs w:val="20"/>
                <w:color w:val="auto"/>
              </w:rPr>
            </w:pPr>
            <w:r>
              <w:rPr>
                <w:rFonts w:ascii="Times New Roman" w:cs="Times New Roman" w:eastAsia="Times New Roman" w:hAnsi="Times New Roman"/>
                <w:sz w:val="18"/>
                <w:szCs w:val="18"/>
                <w:color w:val="auto"/>
              </w:rPr>
              <w:t>59,197</w:t>
            </w:r>
          </w:p>
        </w:tc>
        <w:tc>
          <w:tcPr>
            <w:tcW w:w="800" w:type="dxa"/>
            <w:vAlign w:val="bottom"/>
            <w:tcBorders>
              <w:bottom w:val="single" w:sz="8" w:color="C0E6F5"/>
            </w:tcBorders>
            <w:shd w:val="clear" w:color="auto" w:fill="C0E6F5"/>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Curley</w:t>
            </w:r>
          </w:p>
        </w:tc>
        <w:tc>
          <w:tcPr>
            <w:tcW w:w="3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59,197</w:t>
            </w:r>
          </w:p>
        </w:tc>
        <w:tc>
          <w:tcPr>
            <w:tcW w:w="8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4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7"/>
        </w:trPr>
        <w:tc>
          <w:tcPr>
            <w:tcW w:w="4620" w:type="dxa"/>
            <w:vAlign w:val="bottom"/>
            <w:tcBorders>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Ms. Rotunno</w:t>
            </w:r>
          </w:p>
        </w:tc>
        <w:tc>
          <w:tcPr>
            <w:tcW w:w="3060" w:type="dxa"/>
            <w:vAlign w:val="bottom"/>
            <w:tcBorders>
              <w:bottom w:val="single" w:sz="8" w:color="C0E6F5"/>
            </w:tcBorders>
            <w:shd w:val="clear" w:color="auto" w:fill="C0E6F5"/>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0E6F5"/>
            </w:tcBorders>
            <w:shd w:val="clear" w:color="auto" w:fill="C0E6F5"/>
          </w:tcPr>
          <w:p>
            <w:pPr>
              <w:jc w:val="right"/>
              <w:ind w:right="110"/>
              <w:spacing w:after="0"/>
              <w:rPr>
                <w:sz w:val="20"/>
                <w:szCs w:val="20"/>
                <w:color w:val="auto"/>
              </w:rPr>
            </w:pPr>
            <w:r>
              <w:rPr>
                <w:rFonts w:ascii="Times New Roman" w:cs="Times New Roman" w:eastAsia="Times New Roman" w:hAnsi="Times New Roman"/>
                <w:sz w:val="18"/>
                <w:szCs w:val="18"/>
                <w:color w:val="auto"/>
              </w:rPr>
              <w:t>59,197</w:t>
            </w:r>
          </w:p>
        </w:tc>
        <w:tc>
          <w:tcPr>
            <w:tcW w:w="800" w:type="dxa"/>
            <w:vAlign w:val="bottom"/>
            <w:tcBorders>
              <w:bottom w:val="single" w:sz="8" w:color="C0E6F5"/>
            </w:tcBorders>
            <w:shd w:val="clear" w:color="auto" w:fill="C0E6F5"/>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Saxe</w:t>
            </w:r>
          </w:p>
        </w:tc>
        <w:tc>
          <w:tcPr>
            <w:tcW w:w="3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59,197</w:t>
            </w:r>
          </w:p>
        </w:tc>
        <w:tc>
          <w:tcPr>
            <w:tcW w:w="8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4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6"/>
        </w:trPr>
        <w:tc>
          <w:tcPr>
            <w:tcW w:w="4620" w:type="dxa"/>
            <w:vAlign w:val="bottom"/>
            <w:tcBorders>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Mr. Edick</w:t>
            </w:r>
          </w:p>
        </w:tc>
        <w:tc>
          <w:tcPr>
            <w:tcW w:w="3060" w:type="dxa"/>
            <w:vAlign w:val="bottom"/>
            <w:tcBorders>
              <w:bottom w:val="single" w:sz="8" w:color="C0E6F5"/>
            </w:tcBorders>
            <w:shd w:val="clear" w:color="auto" w:fill="C0E6F5"/>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0E6F5"/>
            </w:tcBorders>
            <w:shd w:val="clear" w:color="auto" w:fill="C0E6F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0E6F5"/>
            </w:tcBorders>
            <w:shd w:val="clear" w:color="auto" w:fill="C0E6F5"/>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131,187</w:t>
            </w:r>
          </w:p>
        </w:tc>
      </w:tr>
      <w:tr>
        <w:trPr>
          <w:trHeight w:val="216"/>
        </w:trPr>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6"/>
        </w:trPr>
        <w:tc>
          <w:tcPr>
            <w:tcW w:w="4620" w:type="dxa"/>
            <w:vAlign w:val="bottom"/>
            <w:shd w:val="clear" w:color="auto" w:fill="C0E6F5"/>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 Assumptions</w:t>
            </w:r>
          </w:p>
        </w:tc>
        <w:tc>
          <w:tcPr>
            <w:tcW w:w="3060" w:type="dxa"/>
            <w:vAlign w:val="bottom"/>
            <w:shd w:val="clear" w:color="auto" w:fill="C0E6F5"/>
          </w:tcPr>
          <w:p>
            <w:pPr>
              <w:spacing w:after="0"/>
              <w:rPr>
                <w:sz w:val="22"/>
                <w:szCs w:val="22"/>
                <w:color w:val="auto"/>
              </w:rPr>
            </w:pPr>
          </w:p>
        </w:tc>
        <w:tc>
          <w:tcPr>
            <w:tcW w:w="1300" w:type="dxa"/>
            <w:vAlign w:val="bottom"/>
            <w:shd w:val="clear" w:color="auto" w:fill="C0E6F5"/>
          </w:tcPr>
          <w:p>
            <w:pPr>
              <w:spacing w:after="0"/>
              <w:rPr>
                <w:sz w:val="22"/>
                <w:szCs w:val="22"/>
                <w:color w:val="auto"/>
              </w:rPr>
            </w:pPr>
          </w:p>
        </w:tc>
        <w:tc>
          <w:tcPr>
            <w:tcW w:w="800" w:type="dxa"/>
            <w:vAlign w:val="bottom"/>
            <w:shd w:val="clear" w:color="auto" w:fill="C0E6F5"/>
          </w:tcPr>
          <w:p>
            <w:pPr>
              <w:spacing w:after="0"/>
              <w:rPr>
                <w:sz w:val="22"/>
                <w:szCs w:val="22"/>
                <w:color w:val="auto"/>
              </w:rPr>
            </w:pPr>
          </w:p>
        </w:tc>
        <w:tc>
          <w:tcPr>
            <w:tcW w:w="1200" w:type="dxa"/>
            <w:vAlign w:val="bottom"/>
            <w:shd w:val="clear" w:color="auto" w:fill="C0E6F5"/>
          </w:tcPr>
          <w:p>
            <w:pPr>
              <w:spacing w:after="0"/>
              <w:rPr>
                <w:sz w:val="22"/>
                <w:szCs w:val="22"/>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3.61</w:t>
            </w:r>
          </w:p>
        </w:tc>
        <w:tc>
          <w:tcPr>
            <w:tcW w:w="8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
        </w:trPr>
        <w:tc>
          <w:tcPr>
            <w:tcW w:w="4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7"/>
        </w:trPr>
        <w:tc>
          <w:tcPr>
            <w:tcW w:w="4620" w:type="dxa"/>
            <w:vAlign w:val="bottom"/>
            <w:tcBorders>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Grant date market price</w:t>
            </w:r>
          </w:p>
        </w:tc>
        <w:tc>
          <w:tcPr>
            <w:tcW w:w="3060" w:type="dxa"/>
            <w:vAlign w:val="bottom"/>
            <w:tcBorders>
              <w:bottom w:val="single" w:sz="8" w:color="C0E6F5"/>
            </w:tcBorders>
            <w:shd w:val="clear" w:color="auto" w:fill="C0E6F5"/>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0E6F5"/>
            </w:tcBorders>
            <w:shd w:val="clear" w:color="auto" w:fill="C0E6F5"/>
          </w:tcPr>
          <w:p>
            <w:pPr>
              <w:jc w:val="right"/>
              <w:ind w:right="110"/>
              <w:spacing w:after="0"/>
              <w:rPr>
                <w:sz w:val="20"/>
                <w:szCs w:val="20"/>
                <w:color w:val="auto"/>
              </w:rPr>
            </w:pPr>
            <w:r>
              <w:rPr>
                <w:rFonts w:ascii="Times New Roman" w:cs="Times New Roman" w:eastAsia="Times New Roman" w:hAnsi="Times New Roman"/>
                <w:sz w:val="18"/>
                <w:szCs w:val="18"/>
                <w:color w:val="auto"/>
              </w:rPr>
              <w:t>3.61</w:t>
            </w:r>
          </w:p>
        </w:tc>
        <w:tc>
          <w:tcPr>
            <w:tcW w:w="800" w:type="dxa"/>
            <w:vAlign w:val="bottom"/>
            <w:tcBorders>
              <w:bottom w:val="single" w:sz="8" w:color="C0E6F5"/>
            </w:tcBorders>
            <w:shd w:val="clear" w:color="auto" w:fill="C0E6F5"/>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6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w:t>
            </w: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
        </w:trPr>
        <w:tc>
          <w:tcPr>
            <w:tcW w:w="4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7"/>
        </w:trPr>
        <w:tc>
          <w:tcPr>
            <w:tcW w:w="4620" w:type="dxa"/>
            <w:vAlign w:val="bottom"/>
            <w:tcBorders>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060" w:type="dxa"/>
            <w:vAlign w:val="bottom"/>
            <w:tcBorders>
              <w:bottom w:val="single" w:sz="8" w:color="C0E6F5"/>
            </w:tcBorders>
            <w:shd w:val="clear" w:color="auto" w:fill="C0E6F5"/>
          </w:tcPr>
          <w:p>
            <w:pPr>
              <w:spacing w:after="0"/>
              <w:rPr>
                <w:sz w:val="20"/>
                <w:szCs w:val="20"/>
                <w:color w:val="auto"/>
              </w:rPr>
            </w:pPr>
          </w:p>
        </w:tc>
        <w:tc>
          <w:tcPr>
            <w:tcW w:w="1300" w:type="dxa"/>
            <w:vAlign w:val="bottom"/>
            <w:tcBorders>
              <w:bottom w:val="single" w:sz="8" w:color="C0E6F5"/>
            </w:tcBorders>
            <w:shd w:val="clear" w:color="auto" w:fill="C0E6F5"/>
          </w:tcPr>
          <w:p>
            <w:pPr>
              <w:jc w:val="right"/>
              <w:ind w:right="50"/>
              <w:spacing w:after="0"/>
              <w:rPr>
                <w:sz w:val="20"/>
                <w:szCs w:val="20"/>
                <w:color w:val="auto"/>
              </w:rPr>
            </w:pPr>
            <w:r>
              <w:rPr>
                <w:rFonts w:ascii="Times New Roman" w:cs="Times New Roman" w:eastAsia="Times New Roman" w:hAnsi="Times New Roman"/>
                <w:sz w:val="18"/>
                <w:szCs w:val="18"/>
                <w:color w:val="auto"/>
              </w:rPr>
              <w:t>5.27</w:t>
            </w:r>
          </w:p>
        </w:tc>
        <w:tc>
          <w:tcPr>
            <w:tcW w:w="800" w:type="dxa"/>
            <w:vAlign w:val="bottom"/>
            <w:tcBorders>
              <w:bottom w:val="single" w:sz="8" w:color="C0E6F5"/>
            </w:tcBorders>
            <w:shd w:val="clear" w:color="auto" w:fill="C0E6F5"/>
          </w:tcPr>
          <w:p>
            <w:pPr>
              <w:spacing w:after="0"/>
              <w:rPr>
                <w:sz w:val="20"/>
                <w:szCs w:val="20"/>
                <w:color w:val="auto"/>
              </w:rPr>
            </w:pP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06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155.06%</w:t>
            </w: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160.35%</w:t>
            </w:r>
          </w:p>
        </w:tc>
      </w:tr>
      <w:tr>
        <w:trPr>
          <w:trHeight w:val="22"/>
        </w:trPr>
        <w:tc>
          <w:tcPr>
            <w:tcW w:w="4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7"/>
        </w:trPr>
        <w:tc>
          <w:tcPr>
            <w:tcW w:w="4620" w:type="dxa"/>
            <w:vAlign w:val="bottom"/>
            <w:tcBorders>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3060" w:type="dxa"/>
            <w:vAlign w:val="bottom"/>
            <w:tcBorders>
              <w:bottom w:val="single" w:sz="8" w:color="C0E6F5"/>
            </w:tcBorders>
            <w:shd w:val="clear" w:color="auto" w:fill="C0E6F5"/>
          </w:tcPr>
          <w:p>
            <w:pPr>
              <w:spacing w:after="0"/>
              <w:rPr>
                <w:sz w:val="20"/>
                <w:szCs w:val="20"/>
                <w:color w:val="auto"/>
              </w:rPr>
            </w:pPr>
          </w:p>
        </w:tc>
        <w:tc>
          <w:tcPr>
            <w:tcW w:w="1300" w:type="dxa"/>
            <w:vAlign w:val="bottom"/>
            <w:tcBorders>
              <w:bottom w:val="single" w:sz="8" w:color="C0E6F5"/>
            </w:tcBorders>
            <w:shd w:val="clear" w:color="auto" w:fill="C0E6F5"/>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800" w:type="dxa"/>
            <w:vAlign w:val="bottom"/>
            <w:tcBorders>
              <w:bottom w:val="single" w:sz="8" w:color="C0E6F5"/>
            </w:tcBorders>
            <w:shd w:val="clear" w:color="auto" w:fill="C0E6F5"/>
          </w:tcPr>
          <w:p>
            <w:pPr>
              <w:spacing w:after="0"/>
              <w:rPr>
                <w:sz w:val="20"/>
                <w:szCs w:val="20"/>
                <w:color w:val="auto"/>
              </w:rPr>
            </w:pP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7"/>
        </w:trPr>
        <w:tc>
          <w:tcPr>
            <w:tcW w:w="4620" w:type="dxa"/>
            <w:vAlign w:val="bottom"/>
            <w:tcBorders>
              <w:bottom w:val="single" w:sz="8" w:color="C0E6F5"/>
            </w:tcBorders>
            <w:shd w:val="clear" w:color="auto" w:fill="C0E6F5"/>
          </w:tcPr>
          <w:p>
            <w:pPr>
              <w:ind w:left="20"/>
              <w:spacing w:after="0"/>
              <w:rPr>
                <w:sz w:val="20"/>
                <w:szCs w:val="20"/>
                <w:color w:val="auto"/>
              </w:rPr>
            </w:pPr>
            <w:r>
              <w:rPr>
                <w:rFonts w:ascii="Times New Roman" w:cs="Times New Roman" w:eastAsia="Times New Roman" w:hAnsi="Times New Roman"/>
                <w:sz w:val="18"/>
                <w:szCs w:val="18"/>
                <w:color w:val="auto"/>
              </w:rPr>
              <w:t>Fair value per share</w:t>
            </w:r>
          </w:p>
        </w:tc>
        <w:tc>
          <w:tcPr>
            <w:tcW w:w="3060" w:type="dxa"/>
            <w:vAlign w:val="bottom"/>
            <w:tcBorders>
              <w:bottom w:val="single" w:sz="8" w:color="C0E6F5"/>
            </w:tcBorders>
            <w:shd w:val="clear" w:color="auto" w:fill="C0E6F5"/>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0E6F5"/>
            </w:tcBorders>
            <w:shd w:val="clear" w:color="auto" w:fill="C0E6F5"/>
          </w:tcPr>
          <w:p>
            <w:pPr>
              <w:jc w:val="right"/>
              <w:ind w:right="110"/>
              <w:spacing w:after="0"/>
              <w:rPr>
                <w:sz w:val="20"/>
                <w:szCs w:val="20"/>
                <w:color w:val="auto"/>
              </w:rPr>
            </w:pPr>
            <w:r>
              <w:rPr>
                <w:rFonts w:ascii="Times New Roman" w:cs="Times New Roman" w:eastAsia="Times New Roman" w:hAnsi="Times New Roman"/>
                <w:sz w:val="18"/>
                <w:szCs w:val="18"/>
                <w:color w:val="auto"/>
              </w:rPr>
              <w:t>3.36</w:t>
            </w:r>
          </w:p>
        </w:tc>
        <w:tc>
          <w:tcPr>
            <w:tcW w:w="800" w:type="dxa"/>
            <w:vAlign w:val="bottom"/>
            <w:tcBorders>
              <w:bottom w:val="single" w:sz="8" w:color="C0E6F5"/>
            </w:tcBorders>
            <w:shd w:val="clear" w:color="auto" w:fill="C0E6F5"/>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0E6F5"/>
            </w:tcBorders>
            <w:shd w:val="clear" w:color="auto" w:fill="C0E6F5"/>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option shares</w:t>
            </w:r>
          </w:p>
        </w:tc>
        <w:tc>
          <w:tcPr>
            <w:tcW w:w="306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88,000</w:t>
            </w: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35,200</w:t>
            </w:r>
          </w:p>
        </w:tc>
      </w:tr>
    </w:tbl>
    <w:p>
      <w:pPr>
        <w:spacing w:after="0" w:line="341" w:lineRule="exact"/>
        <w:rPr>
          <w:sz w:val="20"/>
          <w:szCs w:val="20"/>
          <w:color w:val="auto"/>
        </w:rPr>
      </w:pPr>
    </w:p>
    <w:p>
      <w:pPr>
        <w:ind w:right="100" w:firstLine="8"/>
        <w:spacing w:after="0" w:line="246" w:lineRule="auto"/>
        <w:tabs>
          <w:tab w:leader="none" w:pos="181" w:val="left"/>
        </w:tabs>
        <w:numPr>
          <w:ilvl w:val="0"/>
          <w:numId w:val="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Ms. FitzPatrick was appointed to our Board in July 2021 and served as Chair of our Board from October 2023 through March 2026. Ms. FitzPatrick has also served as a member of our Corporate Governance and Nominating Committee since her 2021 appointment. On November 21, 2022, Ms. FitzPatrick was also appointed as a member of the Compensation Committee. Ms. FitzPatrick stepped down as Chair of our Board effective March 12, 2026, but retained other Committee positions as of that date. At March 31, 2026, Ms. FitzPatrick held options to purchase 50,034 registered shares of our common stock, of which options to purchase 41,234 shares were exercisable.</w:t>
      </w:r>
    </w:p>
    <w:p>
      <w:pPr>
        <w:spacing w:after="0" w:line="208" w:lineRule="exact"/>
        <w:rPr>
          <w:rFonts w:ascii="Times New Roman" w:cs="Times New Roman" w:eastAsia="Times New Roman" w:hAnsi="Times New Roman"/>
          <w:sz w:val="22"/>
          <w:szCs w:val="22"/>
          <w:color w:val="auto"/>
          <w:vertAlign w:val="superscript"/>
        </w:rPr>
      </w:pPr>
    </w:p>
    <w:p>
      <w:pPr>
        <w:ind w:firstLine="8"/>
        <w:spacing w:after="0" w:line="250" w:lineRule="auto"/>
        <w:tabs>
          <w:tab w:leader="none" w:pos="181" w:val="left"/>
        </w:tabs>
        <w:numPr>
          <w:ilvl w:val="0"/>
          <w:numId w:val="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Ms. Cunningham served as an independent member of our Board and as a member of our Corporate Governance and Nominating Committee from January 2019 through April 30, 2021. On May 1, 2021, Ms. Cunningham joined the Company as its Chief Commercial Officer (CCO) and served in such capacity through November 11, 2022. During the period in which she served as CCO, her service on the Corporate Governance and Nominating Committee terminated. Ms. Cunningham re-joined the Corporate Governance and Nominating Committee from November 2022 until voluntarily stepping down from the position in September 2024. At March 31, 2026, Ms. Cunningham held options to purchase 69,203 registered shares of our common stock, of which options to purchase 60,403 shares were exercisable.</w:t>
      </w:r>
    </w:p>
    <w:p>
      <w:pPr>
        <w:spacing w:after="0" w:line="203" w:lineRule="exact"/>
        <w:rPr>
          <w:rFonts w:ascii="Times New Roman" w:cs="Times New Roman" w:eastAsia="Times New Roman" w:hAnsi="Times New Roman"/>
          <w:sz w:val="22"/>
          <w:szCs w:val="22"/>
          <w:color w:val="auto"/>
          <w:vertAlign w:val="superscript"/>
        </w:rPr>
      </w:pPr>
    </w:p>
    <w:p>
      <w:pPr>
        <w:ind w:right="180" w:firstLine="8"/>
        <w:spacing w:after="0" w:line="244" w:lineRule="auto"/>
        <w:tabs>
          <w:tab w:leader="none" w:pos="181" w:val="left"/>
        </w:tabs>
        <w:numPr>
          <w:ilvl w:val="0"/>
          <w:numId w:val="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Dr. Curley was appointed to our Board in April 2021, has also served as a member of our Corporate Governance and Nominating Committee since her appointment and was appointed to serve as a member of our Audit Committee on September 9, 2025. At March 31, 2026, Dr. Curley held options to purchase 50,034 registered shares of our common stock, of which options to purchase 41,234 shares were exercisable.</w:t>
      </w:r>
    </w:p>
    <w:p>
      <w:pPr>
        <w:spacing w:after="0" w:line="209" w:lineRule="exact"/>
        <w:rPr>
          <w:rFonts w:ascii="Times New Roman" w:cs="Times New Roman" w:eastAsia="Times New Roman" w:hAnsi="Times New Roman"/>
          <w:sz w:val="22"/>
          <w:szCs w:val="22"/>
          <w:color w:val="auto"/>
          <w:vertAlign w:val="superscript"/>
        </w:rPr>
      </w:pPr>
    </w:p>
    <w:p>
      <w:pPr>
        <w:ind w:right="100" w:firstLine="8"/>
        <w:spacing w:after="0" w:line="245" w:lineRule="auto"/>
        <w:tabs>
          <w:tab w:leader="none" w:pos="181" w:val="left"/>
        </w:tabs>
        <w:numPr>
          <w:ilvl w:val="0"/>
          <w:numId w:val="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Ms. Rotunno was appointed to our Board in July 2021 and, since her appointment to the Board, served as a member of our Audit Committee and as chairperson of the Corporate Governance and Nominating Committee. At March 31, 2026, Ms. Rotunno held options to purchase 50,034 registered shares of our common stock, of which options to purchase 41,234 shares were exercisable. Ms. Rotunno resigned from the Board and all Committee positions effective April 1, 2026. Accordingly, her unvested options were cancelled as of that date</w:t>
      </w:r>
    </w:p>
    <w:p>
      <w:pPr>
        <w:spacing w:after="0" w:line="223" w:lineRule="exact"/>
        <w:rPr>
          <w:rFonts w:ascii="Times New Roman" w:cs="Times New Roman" w:eastAsia="Times New Roman" w:hAnsi="Times New Roman"/>
          <w:sz w:val="22"/>
          <w:szCs w:val="22"/>
          <w:color w:val="auto"/>
          <w:vertAlign w:val="superscript"/>
        </w:rPr>
      </w:pPr>
    </w:p>
    <w:p>
      <w:pPr>
        <w:ind w:right="160" w:firstLine="8"/>
        <w:spacing w:after="0" w:line="245" w:lineRule="auto"/>
        <w:tabs>
          <w:tab w:leader="none" w:pos="181" w:val="left"/>
        </w:tabs>
        <w:numPr>
          <w:ilvl w:val="0"/>
          <w:numId w:val="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Mr. Saxe served as Chair of our Board from 2000 until October 2023, and resumed serving as Chair effective March 12, 2026. Additionally, Mr. Saxe currently serves as Chair of our Audit Committee, as a member of our Compensation Committee and Corporate Governance and Nominating Committee. At March 31, 2026, Mr. Saxe held (i) 1,858 shares of our common stock and (ii) options to purchase 67,037 registered shares of our common stock, of which options to purchase 58,237 shares were exercisable.</w:t>
      </w:r>
    </w:p>
    <w:p>
      <w:pPr>
        <w:spacing w:after="0" w:line="209" w:lineRule="exact"/>
        <w:rPr>
          <w:rFonts w:ascii="Times New Roman" w:cs="Times New Roman" w:eastAsia="Times New Roman" w:hAnsi="Times New Roman"/>
          <w:sz w:val="22"/>
          <w:szCs w:val="22"/>
          <w:color w:val="auto"/>
          <w:vertAlign w:val="superscript"/>
        </w:rPr>
      </w:pPr>
    </w:p>
    <w:p>
      <w:pPr>
        <w:jc w:val="both"/>
        <w:ind w:right="40" w:firstLine="8"/>
        <w:spacing w:after="0" w:line="244" w:lineRule="auto"/>
        <w:tabs>
          <w:tab w:leader="none" w:pos="181" w:val="left"/>
        </w:tabs>
        <w:numPr>
          <w:ilvl w:val="0"/>
          <w:numId w:val="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Dr. Gin served as a member of our Board and as a member of our Audit Committee from his appointment to the Board in 2016 through his retirement in September 2025. Beginning in July 2021, he was also appointed as the Chair of our Compensation Committee, a position he filled until his retirement from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144" w:name="page145"/>
    <w:bookmarkEnd w:id="144"/>
    <w:p>
      <w:pPr>
        <w:ind w:right="280" w:firstLine="8"/>
        <w:spacing w:after="0" w:line="271" w:lineRule="auto"/>
        <w:tabs>
          <w:tab w:leader="none" w:pos="239" w:val="left"/>
        </w:tabs>
        <w:numPr>
          <w:ilvl w:val="0"/>
          <w:numId w:val="9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Mr. Edick was appointed to our Board and as a member of our Audit Committee in October 2025. Mr. Edick resigned from the Board and his Audit Committee position in February 2026. At the time of his resignation, none of the options shown above as granted in October 2025 were exercisable and, accordingly, all were cancelled.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June 1, 2026 for:</w:t>
      </w:r>
    </w:p>
    <w:p>
      <w:pPr>
        <w:spacing w:after="0" w:line="273" w:lineRule="exact"/>
        <w:rPr>
          <w:sz w:val="20"/>
          <w:szCs w:val="20"/>
          <w:color w:val="auto"/>
        </w:rPr>
      </w:pPr>
    </w:p>
    <w:p>
      <w:pPr>
        <w:ind w:left="1180" w:hanging="398"/>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w:t>
      </w:r>
    </w:p>
    <w:p>
      <w:pPr>
        <w:spacing w:after="0" w:line="49"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49"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including our NEOs, as a group; and</w:t>
      </w:r>
    </w:p>
    <w:p>
      <w:pPr>
        <w:spacing w:after="0" w:line="49"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5%+ stockholders.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percentage ownership is based on 40,468,410 shares of common stock outstanding at June 1, 2026.</w:t>
      </w:r>
    </w:p>
    <w:p>
      <w:pPr>
        <w:spacing w:after="0" w:line="22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computing the percentage of shares of common stock beneficially owned, we deemed to be outstanding all shares of common stock subject to options or warrants held by that person or entity that are currently exercisable or exchangeable or that will become exercisable or exchangeable within 60 days of June 1, 2026.</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Vistagen Therapeutics, Inc., 343 Allerton Avenue, South San Francisco, California 94080.</w:t>
      </w:r>
    </w:p>
    <w:p>
      <w:pPr>
        <w:sectPr>
          <w:pgSz w:w="11900" w:h="16838" w:orient="portrait"/>
          <w:cols w:equalWidth="0" w:num="1">
            <w:col w:w="11240"/>
          </w:cols>
          <w:pgMar w:left="320" w:top="931" w:right="33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Shawn K. Singh, J.D. </w:t>
      </w:r>
      <w:r>
        <w:rPr>
          <w:rFonts w:ascii="Times New Roman" w:cs="Times New Roman" w:eastAsia="Times New Roman" w:hAnsi="Times New Roman"/>
          <w:sz w:val="9"/>
          <w:szCs w:val="9"/>
          <w:color w:val="auto"/>
        </w:rPr>
        <w:t>(2)</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Nick B. Tressler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175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Reid G. Adler, J.D. </w:t>
      </w:r>
      <w:r>
        <w:rPr>
          <w:rFonts w:ascii="Times New Roman" w:cs="Times New Roman" w:eastAsia="Times New Roman" w:hAnsi="Times New Roman"/>
          <w:sz w:val="9"/>
          <w:szCs w:val="9"/>
          <w:color w:val="auto"/>
        </w:rPr>
        <w:t>(3)</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Elissa S. Cote </w:t>
      </w:r>
      <w:r>
        <w:rPr>
          <w:rFonts w:ascii="Times New Roman" w:cs="Times New Roman" w:eastAsia="Times New Roman" w:hAnsi="Times New Roman"/>
          <w:sz w:val="9"/>
          <w:szCs w:val="9"/>
          <w:color w:val="auto"/>
        </w:rPr>
        <w:t>(4)</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Corporate Development Officer</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Joshua S. Prince, MBA </w:t>
      </w:r>
      <w:r>
        <w:rPr>
          <w:rFonts w:ascii="Times New Roman" w:cs="Times New Roman" w:eastAsia="Times New Roman" w:hAnsi="Times New Roman"/>
          <w:sz w:val="9"/>
          <w:szCs w:val="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175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Jon S. Saxe, J.D., LL.M. </w:t>
      </w:r>
      <w:r>
        <w:rPr>
          <w:rFonts w:ascii="Times New Roman" w:cs="Times New Roman" w:eastAsia="Times New Roman" w:hAnsi="Times New Roman"/>
          <w:sz w:val="9"/>
          <w:szCs w:val="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91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Board Chair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Ann M. Cunningham, MBA </w:t>
      </w:r>
      <w:r>
        <w:rPr>
          <w:rFonts w:ascii="Times New Roman" w:cs="Times New Roman" w:eastAsia="Times New Roman" w:hAnsi="Times New Roman"/>
          <w:sz w:val="9"/>
          <w:szCs w:val="9"/>
          <w:color w:val="auto"/>
        </w:rPr>
        <w:t>(7)</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Joanne Curley, Ph.D. </w:t>
      </w:r>
      <w:r>
        <w:rPr>
          <w:rFonts w:ascii="Times New Roman" w:cs="Times New Roman" w:eastAsia="Times New Roman" w:hAnsi="Times New Roman"/>
          <w:sz w:val="9"/>
          <w:szCs w:val="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91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Margaret M. FitzPatrick, M.A. </w:t>
      </w:r>
      <w:r>
        <w:rPr>
          <w:rFonts w:ascii="Times New Roman" w:cs="Times New Roman" w:eastAsia="Times New Roman" w:hAnsi="Times New Roman"/>
          <w:sz w:val="9"/>
          <w:szCs w:val="9"/>
          <w:color w:val="auto"/>
        </w:rPr>
        <w:t>(9)</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All executive officers and directors as a group (10 persons) </w:t>
      </w:r>
      <w:r>
        <w:rPr>
          <w:rFonts w:ascii="Times New Roman" w:cs="Times New Roman" w:eastAsia="Times New Roman" w:hAnsi="Times New Roman"/>
          <w:sz w:val="9"/>
          <w:szCs w:val="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0" w:type="dxa"/>
            <w:vAlign w:val="bottom"/>
          </w:tcPr>
          <w:p>
            <w:pPr>
              <w:spacing w:after="0"/>
              <w:rPr>
                <w:sz w:val="1"/>
                <w:szCs w:val="1"/>
                <w:color w:val="auto"/>
              </w:rPr>
            </w:pPr>
          </w:p>
        </w:tc>
      </w:tr>
      <w:tr>
        <w:trPr>
          <w:trHeight w:val="203"/>
        </w:trPr>
        <w:tc>
          <w:tcPr>
            <w:tcW w:w="17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shares</w:t>
            </w:r>
          </w:p>
        </w:tc>
        <w:tc>
          <w:tcPr>
            <w:tcW w:w="170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shares</w:t>
            </w:r>
          </w:p>
        </w:tc>
        <w:tc>
          <w:tcPr>
            <w:tcW w:w="0" w:type="dxa"/>
            <w:vAlign w:val="bottom"/>
          </w:tcPr>
          <w:p>
            <w:pPr>
              <w:spacing w:after="0"/>
              <w:rPr>
                <w:sz w:val="1"/>
                <w:szCs w:val="1"/>
                <w:color w:val="auto"/>
              </w:rPr>
            </w:pPr>
          </w:p>
        </w:tc>
      </w:tr>
      <w:tr>
        <w:trPr>
          <w:trHeight w:val="203"/>
        </w:trPr>
        <w:tc>
          <w:tcPr>
            <w:tcW w:w="17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70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38"/>
        </w:trPr>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owned</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574,480</w:t>
            </w:r>
          </w:p>
        </w:tc>
        <w:tc>
          <w:tcPr>
            <w:tcW w:w="28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503"/>
        </w:trPr>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193,054</w:t>
            </w:r>
          </w:p>
        </w:tc>
        <w:tc>
          <w:tcPr>
            <w:tcW w:w="2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168,446</w:t>
            </w:r>
          </w:p>
        </w:tc>
        <w:tc>
          <w:tcPr>
            <w:tcW w:w="2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69,276</w:t>
            </w:r>
          </w:p>
        </w:tc>
        <w:tc>
          <w:tcPr>
            <w:tcW w:w="2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69,203</w:t>
            </w:r>
          </w:p>
        </w:tc>
        <w:tc>
          <w:tcPr>
            <w:tcW w:w="28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50,034</w:t>
            </w:r>
          </w:p>
        </w:tc>
        <w:tc>
          <w:tcPr>
            <w:tcW w:w="28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50,034</w:t>
            </w:r>
          </w:p>
        </w:tc>
        <w:tc>
          <w:tcPr>
            <w:tcW w:w="28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5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1,212,027</w:t>
            </w:r>
          </w:p>
        </w:tc>
        <w:tc>
          <w:tcPr>
            <w:tcW w:w="280" w:type="dxa"/>
            <w:vAlign w:val="bottom"/>
          </w:tcPr>
          <w:p>
            <w:pPr>
              <w:spacing w:after="0"/>
              <w:rPr>
                <w:sz w:val="22"/>
                <w:szCs w:val="22"/>
                <w:color w:val="auto"/>
              </w:rPr>
            </w:pPr>
          </w:p>
        </w:tc>
        <w:tc>
          <w:tcPr>
            <w:tcW w:w="17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3660"/>
          </w:cols>
          <w:pgMar w:left="320" w:top="931" w:right="339" w:bottom="1440" w:gutter="0" w:footer="0" w:header="0"/>
          <w:type w:val="continuous"/>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color w:val="auto"/>
        </w:rPr>
        <w:t xml:space="preserve">Commodore Capital Master Fund LP </w:t>
      </w:r>
      <w:r>
        <w:rPr>
          <w:rFonts w:ascii="Times New Roman" w:cs="Times New Roman" w:eastAsia="Times New Roman" w:hAnsi="Times New Roman"/>
          <w:sz w:val="9"/>
          <w:szCs w:val="9"/>
          <w:color w:val="auto"/>
        </w:rPr>
        <w:t>(11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444 Madison Ave., Floor 35</w:t>
      </w: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TCG Crossover Fund II, L.P. </w:t>
      </w:r>
      <w:r>
        <w:rPr>
          <w:rFonts w:ascii="Times New Roman" w:cs="Times New Roman" w:eastAsia="Times New Roman" w:hAnsi="Times New Roman"/>
          <w:sz w:val="9"/>
          <w:szCs w:val="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32320" cy="420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705 High St.</w:t>
      </w:r>
    </w:p>
    <w:p>
      <w:pPr>
        <w:spacing w:after="0"/>
        <w:rPr>
          <w:sz w:val="20"/>
          <w:szCs w:val="20"/>
          <w:color w:val="auto"/>
        </w:rPr>
      </w:pPr>
      <w:r>
        <w:rPr>
          <w:rFonts w:ascii="Times New Roman" w:cs="Times New Roman" w:eastAsia="Times New Roman" w:hAnsi="Times New Roman"/>
          <w:sz w:val="18"/>
          <w:szCs w:val="18"/>
          <w:color w:val="auto"/>
        </w:rPr>
        <w:t>Palo Alto, California 94301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Entities affiliated with BVF, Inc. </w:t>
      </w:r>
      <w:r>
        <w:rPr>
          <w:rFonts w:ascii="Times New Roman" w:cs="Times New Roman" w:eastAsia="Times New Roman" w:hAnsi="Times New Roman"/>
          <w:sz w:val="9"/>
          <w:szCs w:val="9"/>
          <w:color w:val="auto"/>
        </w:rPr>
        <w:t>(13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Montgomery St.</w:t>
      </w:r>
    </w:p>
    <w:p>
      <w:pPr>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156" w:lineRule="exact"/>
        <w:rPr>
          <w:sz w:val="20"/>
          <w:szCs w:val="20"/>
          <w:color w:val="auto"/>
        </w:rPr>
      </w:pPr>
    </w:p>
    <w:p>
      <w:pPr>
        <w:ind w:left="380" w:hanging="374"/>
        <w:spacing w:after="0"/>
        <w:tabs>
          <w:tab w:leader="none" w:pos="3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7"/>
          <w:szCs w:val="17"/>
          <w:color w:val="auto"/>
        </w:rPr>
        <w:t>5,872,944</w:t>
      </w:r>
      <w:r>
        <w:rPr>
          <w:sz w:val="20"/>
          <w:szCs w:val="20"/>
          <w:color w:val="auto"/>
        </w:rPr>
        <w:tab/>
      </w:r>
      <w:r>
        <w:rPr>
          <w:rFonts w:ascii="Times New Roman" w:cs="Times New Roman" w:eastAsia="Times New Roman" w:hAnsi="Times New Roman"/>
          <w:sz w:val="17"/>
          <w:szCs w:val="17"/>
          <w:color w:val="auto"/>
        </w:rPr>
        <w:t>12.67 %</w:t>
      </w:r>
    </w:p>
    <w:p>
      <w:pPr>
        <w:spacing w:after="0" w:line="200" w:lineRule="exact"/>
        <w:rPr>
          <w:sz w:val="20"/>
          <w:szCs w:val="20"/>
          <w:color w:val="auto"/>
        </w:rPr>
      </w:pPr>
    </w:p>
    <w:p>
      <w:pPr>
        <w:spacing w:after="0" w:line="265"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7"/>
          <w:szCs w:val="17"/>
          <w:color w:val="auto"/>
        </w:rPr>
        <w:t>4,227,738</w:t>
      </w:r>
      <w:r>
        <w:rPr>
          <w:sz w:val="20"/>
          <w:szCs w:val="20"/>
          <w:color w:val="auto"/>
        </w:rPr>
        <w:tab/>
      </w:r>
      <w:r>
        <w:rPr>
          <w:rFonts w:ascii="Times New Roman" w:cs="Times New Roman" w:eastAsia="Times New Roman" w:hAnsi="Times New Roman"/>
          <w:sz w:val="17"/>
          <w:szCs w:val="17"/>
          <w:color w:val="auto"/>
        </w:rPr>
        <w:t xml:space="preserve">9.60 </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8"/>
          <w:szCs w:val="18"/>
          <w:color w:val="auto"/>
        </w:rPr>
        <w:t>3,037,835</w:t>
      </w:r>
      <w:r>
        <w:rPr>
          <w:sz w:val="20"/>
          <w:szCs w:val="20"/>
          <w:color w:val="auto"/>
        </w:rPr>
        <w:tab/>
      </w:r>
      <w:r>
        <w:rPr>
          <w:rFonts w:ascii="Times New Roman" w:cs="Times New Roman" w:eastAsia="Times New Roman" w:hAnsi="Times New Roman"/>
          <w:sz w:val="18"/>
          <w:szCs w:val="18"/>
          <w:color w:val="auto"/>
        </w:rPr>
        <w:t>6.98 %</w:t>
      </w:r>
    </w:p>
    <w:p>
      <w:pPr>
        <w:spacing w:after="0" w:line="375" w:lineRule="exact"/>
        <w:rPr>
          <w:sz w:val="20"/>
          <w:szCs w:val="20"/>
          <w:color w:val="auto"/>
        </w:rPr>
      </w:pPr>
    </w:p>
    <w:p>
      <w:pPr>
        <w:sectPr>
          <w:pgSz w:w="11900" w:h="16838" w:orient="portrait"/>
          <w:cols w:equalWidth="0" w:num="2">
            <w:col w:w="7580" w:space="720"/>
            <w:col w:w="2900"/>
          </w:cols>
          <w:pgMar w:left="340" w:top="968" w:right="35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ind w:left="400"/>
        <w:spacing w:after="0" w:line="243" w:lineRule="auto"/>
        <w:rPr>
          <w:sz w:val="20"/>
          <w:szCs w:val="20"/>
          <w:color w:val="auto"/>
        </w:rPr>
      </w:pPr>
      <w:r>
        <w:rPr>
          <w:rFonts w:ascii="Times New Roman" w:cs="Times New Roman" w:eastAsia="Times New Roman" w:hAnsi="Times New Roman"/>
          <w:sz w:val="18"/>
          <w:szCs w:val="18"/>
          <w:color w:val="auto"/>
        </w:rPr>
        <w:t>Based on 40,468,410 shares of common stock outstanding as of June 1, 2026. Percentages reported herein do not give effect to beneficial ownership blockers contained within outstanding common stock purchase warrants.</w:t>
      </w:r>
    </w:p>
    <w:p>
      <w:pPr>
        <w:sectPr>
          <w:pgSz w:w="11900" w:h="16838" w:orient="portrait"/>
          <w:cols w:equalWidth="0" w:num="1">
            <w:col w:w="11200"/>
          </w:cols>
          <w:pgMar w:left="340" w:top="968" w:right="35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Number of shares beneficially held consists of (i) 38,903 shares of common stock, of which 20,875 shares of common stock are held by The 1997 Singh Family Trust, and (ii) stock options to purchase up to 535,577 shares of registered common stock exercisable within 60 days of June 1, 2026.</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Number of shares beneficially held consists of (i) 24,050 shares of common stock, and (ii) stock options to purchase up to 169,004 shares of registered common stock exercisable within 60 days of June 1, 2026.</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Number of shares beneficially held consists of stock options to purchase up to 37,500 shares of registered common stock exercisable within 60 days of June 1, 2026.</w:t>
      </w:r>
    </w:p>
    <w:p>
      <w:pPr>
        <w:spacing w:after="0" w:line="75" w:lineRule="exact"/>
        <w:rPr>
          <w:sz w:val="20"/>
          <w:szCs w:val="20"/>
          <w:color w:val="auto"/>
        </w:rPr>
      </w:pPr>
    </w:p>
    <w:p>
      <w:pPr>
        <w:sectPr>
          <w:pgSz w:w="11900" w:h="16838" w:orient="portrait"/>
          <w:cols w:equalWidth="0" w:num="2">
            <w:col w:w="120" w:space="280"/>
            <w:col w:w="10800"/>
          </w:cols>
          <w:pgMar w:left="340" w:top="96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(10)</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Number of shares beneficially held consists of (i) 15,249 shares of common stock, and (ii) stock options to purchase up to 153,197 shares of registered common stock exercisable within 60 days of June 1, 2026.</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Number of shares beneficially held consists of (i) 1,858 shares of common stock, and (ii) stock options to purchase up to 67,418 shares of registered common stock exercisable within 60 days of June 1, 2026.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Number of shares beneficially held consists of stock options to purchase up to 69,203 shares of registered common stock exercisable within 60 days of June 1, 2026.</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Number of shares beneficially held consists of stock options to purchase up to 50,034 shares of registered common stock exercisable within 60 days of June 1, 2026.</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Number of shares beneficially held consists of stock options to purchase up to 50,034 shares of registered common stock exercisable within 60 days of June 1, 2026.</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Number of shares beneficially held consists of (i) 80,060 shares of common stock, and (ii) stock options to purchase up to 1,131,967 shares of registered common stock exercisable within 60 days of June 1, 2026.</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Reported holdings based upon Amendment No. 2 to Schedule 13G filed by Commodore Capital LP (Commodore) on February 17, 2026 and Company records. Number of shares beneficially held consists of up to 5,872,944 shares of common stock issuable upon exercise of certain warrants beneficially held by Commodore.</w:t>
      </w:r>
    </w:p>
    <w:p>
      <w:pPr>
        <w:spacing w:after="0" w:line="1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Commodore is the investment manager to Commodore Capital Master LP (Commodore Master) and Messrs. Michael Kramarz and Robert Egen Atkinson are the managing partners of Commodore. As such, Commodore, Mr. Kramarz and Mr. Atkinson may be deemed to beneficially own the shares beneficially held by Commodore Master.</w:t>
      </w:r>
    </w:p>
    <w:p>
      <w:pPr>
        <w:spacing w:after="0" w:line="1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Reported holdings based upon Amendment No. 1 to Schedule 13G filed by TCG Crossover GP II, LLC (TCG Crossover) on May 15, 2026 and Company records. Number of shares beneficially held consists of (i) 2,007,435 shares of common stock and (ii) up to 2,220,302 shares of common stock issuable upon exercise of certain warrants beneficially held by TCG Crossover.</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TCG Crossover is the General Partner of TCG Crossover Fund II, L.P. and Dr. Chen Yu is the Managing Member of TCG Crossover. As such, TCG Crossover and Dr. Yu may be deemed to beneficially own the shares beneficially held by TCG Crossover.</w:t>
      </w:r>
    </w:p>
    <w:p>
      <w:pPr>
        <w:spacing w:after="0" w:line="200" w:lineRule="exact"/>
        <w:rPr>
          <w:sz w:val="20"/>
          <w:szCs w:val="20"/>
          <w:color w:val="auto"/>
        </w:rPr>
      </w:pPr>
    </w:p>
    <w:p>
      <w:pPr>
        <w:sectPr>
          <w:pgSz w:w="11900" w:h="16838" w:orient="portrait"/>
          <w:cols w:equalWidth="0" w:num="2">
            <w:col w:w="180" w:space="220"/>
            <w:col w:w="10800"/>
          </w:cols>
          <w:pgMar w:left="340" w:top="968" w:right="35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68" w:right="359" w:bottom="1440" w:gutter="0" w:footer="0" w:header="0"/>
          <w:type w:val="continuous"/>
        </w:sectPr>
      </w:pPr>
    </w:p>
    <w:bookmarkStart w:id="146" w:name="page147"/>
    <w:bookmarkEnd w:id="146"/>
    <w:p>
      <w:pPr>
        <w:ind w:left="20"/>
        <w:spacing w:after="0"/>
        <w:rPr>
          <w:sz w:val="20"/>
          <w:szCs w:val="20"/>
          <w:color w:val="auto"/>
        </w:rPr>
      </w:pPr>
      <w:r>
        <w:rPr>
          <w:rFonts w:ascii="Times New Roman" w:cs="Times New Roman" w:eastAsia="Times New Roman" w:hAnsi="Times New Roman"/>
          <w:sz w:val="11"/>
          <w:szCs w:val="11"/>
          <w:color w:val="auto"/>
        </w:rPr>
        <w:t>(13)</w:t>
      </w:r>
    </w:p>
    <w:p>
      <w:pPr>
        <w:jc w:val="both"/>
        <w:ind w:left="420" w:right="20"/>
        <w:spacing w:after="0" w:line="239" w:lineRule="auto"/>
        <w:rPr>
          <w:sz w:val="20"/>
          <w:szCs w:val="20"/>
          <w:color w:val="auto"/>
        </w:rPr>
      </w:pPr>
      <w:r>
        <w:rPr>
          <w:rFonts w:ascii="Times New Roman" w:cs="Times New Roman" w:eastAsia="Times New Roman" w:hAnsi="Times New Roman"/>
          <w:sz w:val="18"/>
          <w:szCs w:val="18"/>
          <w:color w:val="auto"/>
        </w:rPr>
        <w:t>Reported holdings based upon Amendment No. 1 to Schedule 13G filed by Biotechnology Value Fund L.P. (</w:t>
      </w:r>
      <w:r>
        <w:rPr>
          <w:rFonts w:ascii="Times New Roman" w:cs="Times New Roman" w:eastAsia="Times New Roman" w:hAnsi="Times New Roman"/>
          <w:sz w:val="18"/>
          <w:szCs w:val="18"/>
          <w:i w:val="1"/>
          <w:iCs w:val="1"/>
          <w:color w:val="auto"/>
        </w:rPr>
        <w:t>BVF</w:t>
      </w:r>
      <w:r>
        <w:rPr>
          <w:rFonts w:ascii="Times New Roman" w:cs="Times New Roman" w:eastAsia="Times New Roman" w:hAnsi="Times New Roman"/>
          <w:sz w:val="18"/>
          <w:szCs w:val="18"/>
          <w:color w:val="auto"/>
        </w:rPr>
        <w:t>) on February 14, 2025. Number of shares beneficially held consists of up to 3,084,324 shares of common stock issuable upon exercise of certain warrants beneficially held by BVF, Inc. and its affiliates</w:t>
      </w:r>
    </w:p>
    <w:p>
      <w:pPr>
        <w:spacing w:after="0" w:line="210" w:lineRule="exact"/>
        <w:rPr>
          <w:sz w:val="20"/>
          <w:szCs w:val="20"/>
          <w:color w:val="auto"/>
        </w:rPr>
      </w:pPr>
    </w:p>
    <w:p>
      <w:pPr>
        <w:jc w:val="both"/>
        <w:ind w:left="420" w:right="20"/>
        <w:spacing w:after="0" w:line="237" w:lineRule="auto"/>
        <w:rPr>
          <w:sz w:val="20"/>
          <w:szCs w:val="20"/>
          <w:color w:val="auto"/>
        </w:rPr>
      </w:pPr>
      <w:r>
        <w:rPr>
          <w:rFonts w:ascii="Times New Roman" w:cs="Times New Roman" w:eastAsia="Times New Roman" w:hAnsi="Times New Roman"/>
          <w:sz w:val="18"/>
          <w:szCs w:val="18"/>
          <w:color w:val="auto"/>
        </w:rPr>
        <w:t>Entities affiliated with BVF, Inc. consist of BVF, BVF I GP LLC (</w:t>
      </w:r>
      <w:r>
        <w:rPr>
          <w:rFonts w:ascii="Times New Roman" w:cs="Times New Roman" w:eastAsia="Times New Roman" w:hAnsi="Times New Roman"/>
          <w:sz w:val="18"/>
          <w:szCs w:val="18"/>
          <w:i w:val="1"/>
          <w:iCs w:val="1"/>
          <w:color w:val="auto"/>
        </w:rPr>
        <w:t>BVF GP</w:t>
      </w:r>
      <w:r>
        <w:rPr>
          <w:rFonts w:ascii="Times New Roman" w:cs="Times New Roman" w:eastAsia="Times New Roman" w:hAnsi="Times New Roman"/>
          <w:sz w:val="18"/>
          <w:szCs w:val="18"/>
          <w:color w:val="auto"/>
        </w:rPr>
        <w:t>), Biotechnology Value Fund II, L.P. (</w:t>
      </w:r>
      <w:r>
        <w:rPr>
          <w:rFonts w:ascii="Times New Roman" w:cs="Times New Roman" w:eastAsia="Times New Roman" w:hAnsi="Times New Roman"/>
          <w:sz w:val="18"/>
          <w:szCs w:val="18"/>
          <w:i w:val="1"/>
          <w:iCs w:val="1"/>
          <w:color w:val="auto"/>
        </w:rPr>
        <w:t>BVF2</w:t>
      </w:r>
      <w:r>
        <w:rPr>
          <w:rFonts w:ascii="Times New Roman" w:cs="Times New Roman" w:eastAsia="Times New Roman" w:hAnsi="Times New Roman"/>
          <w:sz w:val="18"/>
          <w:szCs w:val="18"/>
          <w:color w:val="auto"/>
        </w:rPr>
        <w:t>), BVF II GP LLC (</w:t>
      </w:r>
      <w:r>
        <w:rPr>
          <w:rFonts w:ascii="Times New Roman" w:cs="Times New Roman" w:eastAsia="Times New Roman" w:hAnsi="Times New Roman"/>
          <w:sz w:val="18"/>
          <w:szCs w:val="18"/>
          <w:i w:val="1"/>
          <w:iCs w:val="1"/>
          <w:color w:val="auto"/>
        </w:rPr>
        <w:t>BVF2 GP</w:t>
      </w:r>
      <w:r>
        <w:rPr>
          <w:rFonts w:ascii="Times New Roman" w:cs="Times New Roman" w:eastAsia="Times New Roman" w:hAnsi="Times New Roman"/>
          <w:sz w:val="18"/>
          <w:szCs w:val="18"/>
          <w:color w:val="auto"/>
        </w:rPr>
        <w:t>), Biotechnology Value Trading Fund OS LP (</w:t>
      </w:r>
      <w:r>
        <w:rPr>
          <w:rFonts w:ascii="Times New Roman" w:cs="Times New Roman" w:eastAsia="Times New Roman" w:hAnsi="Times New Roman"/>
          <w:sz w:val="18"/>
          <w:szCs w:val="18"/>
          <w:i w:val="1"/>
          <w:iCs w:val="1"/>
          <w:color w:val="auto"/>
        </w:rPr>
        <w:t>Trading Fund OS</w:t>
      </w:r>
      <w:r>
        <w:rPr>
          <w:rFonts w:ascii="Times New Roman" w:cs="Times New Roman" w:eastAsia="Times New Roman" w:hAnsi="Times New Roman"/>
          <w:sz w:val="18"/>
          <w:szCs w:val="18"/>
          <w:color w:val="auto"/>
        </w:rPr>
        <w:t>), BVF Partners OS Ltd. (</w:t>
      </w:r>
      <w:r>
        <w:rPr>
          <w:rFonts w:ascii="Times New Roman" w:cs="Times New Roman" w:eastAsia="Times New Roman" w:hAnsi="Times New Roman"/>
          <w:sz w:val="18"/>
          <w:szCs w:val="18"/>
          <w:i w:val="1"/>
          <w:iCs w:val="1"/>
          <w:color w:val="auto"/>
        </w:rPr>
        <w:t>Partners OS</w:t>
      </w:r>
      <w:r>
        <w:rPr>
          <w:rFonts w:ascii="Times New Roman" w:cs="Times New Roman" w:eastAsia="Times New Roman" w:hAnsi="Times New Roman"/>
          <w:sz w:val="18"/>
          <w:szCs w:val="18"/>
          <w:color w:val="auto"/>
        </w:rPr>
        <w:t>), BVF GP Holdings LLC (</w:t>
      </w:r>
      <w:r>
        <w:rPr>
          <w:rFonts w:ascii="Times New Roman" w:cs="Times New Roman" w:eastAsia="Times New Roman" w:hAnsi="Times New Roman"/>
          <w:sz w:val="18"/>
          <w:szCs w:val="18"/>
          <w:i w:val="1"/>
          <w:iCs w:val="1"/>
          <w:color w:val="auto"/>
        </w:rPr>
        <w:t>BVF GPH</w:t>
      </w:r>
      <w:r>
        <w:rPr>
          <w:rFonts w:ascii="Times New Roman" w:cs="Times New Roman" w:eastAsia="Times New Roman" w:hAnsi="Times New Roman"/>
          <w:sz w:val="18"/>
          <w:szCs w:val="18"/>
          <w:color w:val="auto"/>
        </w:rPr>
        <w:t>) and BVF Partners L.P. (</w:t>
      </w:r>
      <w:r>
        <w:rPr>
          <w:rFonts w:ascii="Times New Roman" w:cs="Times New Roman" w:eastAsia="Times New Roman" w:hAnsi="Times New Roman"/>
          <w:sz w:val="18"/>
          <w:szCs w:val="18"/>
          <w:i w:val="1"/>
          <w:iCs w:val="1"/>
          <w:color w:val="auto"/>
        </w:rPr>
        <w:t>Partners</w:t>
      </w:r>
      <w:r>
        <w:rPr>
          <w:rFonts w:ascii="Times New Roman" w:cs="Times New Roman" w:eastAsia="Times New Roman" w:hAnsi="Times New Roman"/>
          <w:sz w:val="18"/>
          <w:szCs w:val="18"/>
          <w:color w:val="auto"/>
        </w:rPr>
        <w:t>). BVF GP is the general partner of BVF and may be deemed to beneficially own the shares held by BVF. BVF2 GP is the general partner of BVF2 and may be deemed to beneficially own the shares held by BVF2. Partners OS is the general partner of Trading Fund OS and may be deemed to beneficially own the shares held by Trading Fund OS. BVF GPH is the sole member of each of BVF GP and BVF2 GP, and may be deemed to beneficially own in the aggregate the shares held by BVF and BVF2. Partners is the investment manager of BVF, BVF2 and Trading Fund OS, and is the sole member of Partners OS and may be deemed to beneficially own in the aggregate shares held by BVF, BVF2 and Trading Fund OS. BVF, Inc. is the general partner of Partners and may be deemed to beneficially own the shares held by Partners. Mr. Mark N. Lampert is a director and officer of BVF, Inc and may be deemed to beneficially own the shares held by BVF,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4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information about our equity compensation plans as of March 31, 2026. All outstanding awards relate to our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20" w:type="dxa"/>
            <w:vAlign w:val="bottom"/>
          </w:tcPr>
          <w:p>
            <w:pPr>
              <w:spacing w:after="0"/>
              <w:rPr>
                <w:sz w:val="17"/>
                <w:szCs w:val="17"/>
                <w:color w:val="auto"/>
              </w:rPr>
            </w:pPr>
          </w:p>
        </w:tc>
        <w:tc>
          <w:tcPr>
            <w:tcW w:w="18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1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issued upon</w:t>
            </w:r>
          </w:p>
        </w:tc>
        <w:tc>
          <w:tcPr>
            <w:tcW w:w="120" w:type="dxa"/>
            <w:vAlign w:val="bottom"/>
          </w:tcPr>
          <w:p>
            <w:pPr>
              <w:spacing w:after="0"/>
              <w:rPr>
                <w:sz w:val="17"/>
                <w:szCs w:val="17"/>
                <w:color w:val="auto"/>
              </w:rPr>
            </w:pPr>
          </w:p>
        </w:tc>
        <w:tc>
          <w:tcPr>
            <w:tcW w:w="18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7"/>
                <w:szCs w:val="17"/>
                <w:color w:val="auto"/>
              </w:rPr>
            </w:pPr>
          </w:p>
        </w:tc>
        <w:tc>
          <w:tcPr>
            <w:tcW w:w="18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02"/>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outstanding</w:t>
            </w:r>
          </w:p>
        </w:tc>
        <w:tc>
          <w:tcPr>
            <w:tcW w:w="120" w:type="dxa"/>
            <w:vAlign w:val="bottom"/>
          </w:tcPr>
          <w:p>
            <w:pPr>
              <w:spacing w:after="0"/>
              <w:rPr>
                <w:sz w:val="17"/>
                <w:szCs w:val="17"/>
                <w:color w:val="auto"/>
              </w:rPr>
            </w:pPr>
          </w:p>
        </w:tc>
        <w:tc>
          <w:tcPr>
            <w:tcW w:w="180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1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options,</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rPr>
              <w:t>warrants and</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reflected in column (a)</w:t>
            </w: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rights</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45"/>
        </w:trPr>
        <w:tc>
          <w:tcPr>
            <w:tcW w:w="5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37"/>
        </w:trPr>
        <w:tc>
          <w:tcPr>
            <w:tcW w:w="5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Equity compensation plans approved by security holders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4"/>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2019 Plan and 2016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4,157,368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1,122,097</w:t>
            </w:r>
          </w:p>
        </w:tc>
      </w:tr>
      <w:tr>
        <w:trPr>
          <w:trHeight w:val="22"/>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7"/>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ESPP</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693,558</w:t>
            </w:r>
          </w:p>
        </w:tc>
      </w:tr>
      <w:tr>
        <w:trPr>
          <w:trHeight w:val="216"/>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Equity compensation plans not approved by security holders</w:t>
            </w: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r>
      <w:tr>
        <w:trPr>
          <w:trHeight w:val="277"/>
        </w:trPr>
        <w:tc>
          <w:tcPr>
            <w:tcW w:w="5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Inducement Awards</w:t>
            </w:r>
            <w:r>
              <w:rPr>
                <w:rFonts w:ascii="Times New Roman" w:cs="Times New Roman" w:eastAsia="Times New Roman" w:hAnsi="Times New Roman"/>
                <w:sz w:val="23"/>
                <w:szCs w:val="23"/>
                <w:color w:val="auto"/>
                <w:vertAlign w:val="superscript"/>
              </w:rPr>
              <w:t>(1)</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28"/>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4,457,368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1,815,655</w:t>
            </w:r>
          </w:p>
        </w:tc>
      </w:tr>
      <w:tr>
        <w:trPr>
          <w:trHeight w:val="22"/>
        </w:trPr>
        <w:tc>
          <w:tcPr>
            <w:tcW w:w="5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r>
    </w:tbl>
    <w:p>
      <w:pPr>
        <w:spacing w:after="0" w:line="117" w:lineRule="exact"/>
        <w:rPr>
          <w:sz w:val="20"/>
          <w:szCs w:val="20"/>
          <w:color w:val="auto"/>
        </w:rPr>
      </w:pPr>
    </w:p>
    <w:p>
      <w:pPr>
        <w:jc w:val="both"/>
        <w:ind w:left="840" w:right="660" w:hanging="814"/>
        <w:spacing w:after="0" w:line="250" w:lineRule="auto"/>
        <w:tabs>
          <w:tab w:leader="none" w:pos="84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Consists of inducement stock options to granted to Ms. Cote and Mr. Tressler upon commencement of their employment by the Company. For additional information about the inducement stock options, please see the table titled “Outstanding Equity Award at March 31, 2026” in Part III, Item 11 of this Annual Report.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Equity Compensation Plans</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unanimously approved the Company’s 2016 Plan on July 26, 2016, and it was approved by our stockholders at our 2016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Stockholders on September 26, 2016, and further 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Code, or non-qualified stock options. We could grant incentive stock options only to employees of the Company or any parent or subsidiary of the Company. Awards other than incentive stock options could be granted to employees, directors and consultants. Upon the adoption of our 2019 Plan, no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7" w:name="page148"/>
    <w:bookmarkEnd w:id="147"/>
    <w:p>
      <w:pPr>
        <w:ind w:right="20"/>
        <w:spacing w:after="0" w:line="266" w:lineRule="auto"/>
        <w:rPr>
          <w:sz w:val="20"/>
          <w:szCs w:val="20"/>
          <w:color w:val="auto"/>
        </w:rPr>
      </w:pPr>
      <w:r>
        <w:rPr>
          <w:rFonts w:ascii="Times New Roman" w:cs="Times New Roman" w:eastAsia="Times New Roman" w:hAnsi="Times New Roman"/>
          <w:sz w:val="18"/>
          <w:szCs w:val="18"/>
          <w:color w:val="auto"/>
        </w:rPr>
        <w:t>further grants were permissible under the 2016 Plan and approximately 46,667 authorized shares were transferred to the 2019 Plan and became issuable thereunder. All options granted from the 2016 Plan remain operative under the terms of the respective grants.</w:t>
      </w:r>
    </w:p>
    <w:p>
      <w:pPr>
        <w:spacing w:after="0" w:line="1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2019 Plan. </w:t>
      </w:r>
      <w:r>
        <w:rPr>
          <w:rFonts w:ascii="Times New Roman" w:cs="Times New Roman" w:eastAsia="Times New Roman" w:hAnsi="Times New Roman"/>
          <w:sz w:val="18"/>
          <w:szCs w:val="18"/>
          <w:color w:val="auto"/>
        </w:rPr>
        <w:t>Below is a summary of the terms and conditions of the 2019 Plan. Unless otherwise indicated, all capitalized terms shall have the same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2019 Plan.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and</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Eligible</w:t>
            </w: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2019 Plan is designed to secure and retain the services of our employees, non-employee directors and consultants,</w:t>
            </w:r>
          </w:p>
        </w:tc>
      </w:tr>
      <w:tr>
        <w:trPr>
          <w:trHeight w:val="207"/>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provide incentives for such persons to exert maximum efforts for the success of the Company and our affiliates, and</w:t>
            </w:r>
          </w:p>
        </w:tc>
      </w:tr>
      <w:tr>
        <w:trPr>
          <w:trHeight w:val="189"/>
        </w:trPr>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8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to provide a means by which such persons may be given an opportunity to benefit from increases in the value of our</w:t>
            </w:r>
          </w:p>
        </w:tc>
      </w:tr>
      <w:tr>
        <w:trPr>
          <w:trHeight w:val="234"/>
        </w:trPr>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The 2019 Plan is also designed to align employees’ interests with stockholder interests.</w:t>
            </w:r>
          </w:p>
        </w:tc>
      </w:tr>
      <w:tr>
        <w:trPr>
          <w:trHeight w:val="454"/>
        </w:trPr>
        <w:tc>
          <w:tcPr>
            <w:tcW w:w="9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2019 Plan provides for the grant of stock options, stock appreciation rights (</w:t>
            </w:r>
            <w:r>
              <w:rPr>
                <w:rFonts w:ascii="Times New Roman" w:cs="Times New Roman" w:eastAsia="Times New Roman" w:hAnsi="Times New Roman"/>
                <w:sz w:val="21"/>
                <w:szCs w:val="21"/>
                <w:color w:val="auto"/>
              </w:rPr>
              <w:t>SARs</w:t>
            </w:r>
            <w:r>
              <w:rPr>
                <w:rFonts w:ascii="Times New Roman" w:cs="Times New Roman" w:eastAsia="Times New Roman" w:hAnsi="Times New Roman"/>
                <w:sz w:val="18"/>
                <w:szCs w:val="18"/>
                <w:color w:val="auto"/>
              </w:rPr>
              <w:t>), restricted stock, restricted</w:t>
            </w:r>
          </w:p>
        </w:tc>
      </w:tr>
      <w:tr>
        <w:trPr>
          <w:trHeight w:val="203"/>
        </w:trPr>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stock units, and other stock-based awards, and performance awards, collectively referred to as “Awards”. Awards may</w:t>
            </w:r>
          </w:p>
        </w:tc>
      </w:tr>
      <w:tr>
        <w:trPr>
          <w:trHeight w:val="203"/>
        </w:trPr>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be granted under the 2019 Plan to officers, employees and consultants of the Company and our subsidiaries and to our</w:t>
            </w:r>
          </w:p>
        </w:tc>
      </w:tr>
      <w:tr>
        <w:trPr>
          <w:trHeight w:val="203"/>
        </w:trPr>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non-employee directors. Incentive stock options may be granted only to employees of the Company or one of our</w:t>
            </w:r>
          </w:p>
        </w:tc>
      </w:tr>
      <w:tr>
        <w:trPr>
          <w:trHeight w:val="234"/>
        </w:trPr>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subsidiaries.</w:t>
            </w:r>
          </w:p>
        </w:tc>
      </w:tr>
      <w:tr>
        <w:trPr>
          <w:trHeight w:val="270"/>
        </w:trPr>
        <w:tc>
          <w:tcPr>
            <w:tcW w:w="1640" w:type="dxa"/>
            <w:vAlign w:val="bottom"/>
            <w:gridSpan w:val="2"/>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820" w:type="dxa"/>
            <w:vAlign w:val="bottom"/>
            <w:shd w:val="clear" w:color="auto" w:fill="CCEEFF"/>
          </w:tcPr>
          <w:p>
            <w:pPr>
              <w:spacing w:after="0"/>
              <w:rPr>
                <w:sz w:val="23"/>
                <w:szCs w:val="23"/>
                <w:color w:val="auto"/>
              </w:rPr>
            </w:pPr>
          </w:p>
        </w:tc>
      </w:tr>
      <w:tr>
        <w:trPr>
          <w:trHeight w:val="198"/>
        </w:trPr>
        <w:tc>
          <w:tcPr>
            <w:tcW w:w="16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Plan Administration</w:t>
            </w:r>
          </w:p>
        </w:tc>
        <w:tc>
          <w:tcPr>
            <w:tcW w:w="780" w:type="dxa"/>
            <w:vAlign w:val="bottom"/>
          </w:tcPr>
          <w:p>
            <w:pPr>
              <w:spacing w:after="0"/>
              <w:rPr>
                <w:sz w:val="17"/>
                <w:szCs w:val="17"/>
                <w:color w:val="auto"/>
              </w:rPr>
            </w:pPr>
          </w:p>
        </w:tc>
        <w:tc>
          <w:tcPr>
            <w:tcW w:w="88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The 2019 Plan is administered by the Compensation Committee of the Board. The Compensation Committee, in its</w:t>
            </w:r>
          </w:p>
        </w:tc>
      </w:tr>
      <w:tr>
        <w:trPr>
          <w:trHeight w:val="223"/>
        </w:trPr>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discretion, selects the individuals to whom awards may be granted, the time or times at which such awards are granted,</w:t>
            </w:r>
          </w:p>
        </w:tc>
      </w:tr>
    </w:tbl>
    <w:p>
      <w:pPr>
        <w:jc w:val="both"/>
        <w:ind w:left="2560" w:right="20"/>
        <w:spacing w:after="0" w:line="233" w:lineRule="auto"/>
        <w:rPr>
          <w:sz w:val="20"/>
          <w:szCs w:val="20"/>
          <w:color w:val="auto"/>
        </w:rPr>
      </w:pPr>
      <w:r>
        <w:rPr>
          <w:rFonts w:ascii="Times New Roman" w:cs="Times New Roman" w:eastAsia="Times New Roman" w:hAnsi="Times New Roman"/>
          <w:sz w:val="18"/>
          <w:szCs w:val="18"/>
          <w:color w:val="auto"/>
        </w:rPr>
        <w:t>and the terms of such awards. The Compensation Committee may delegate its authority to the extent permitted by applicable law.</w:t>
      </w:r>
    </w:p>
    <w:p>
      <w:pPr>
        <w:spacing w:after="0" w:line="213" w:lineRule="exact"/>
        <w:rPr>
          <w:sz w:val="20"/>
          <w:szCs w:val="20"/>
          <w:color w:val="auto"/>
        </w:rPr>
      </w:pPr>
    </w:p>
    <w:p>
      <w:pPr>
        <w:jc w:val="both"/>
        <w:ind w:left="2560" w:right="20"/>
        <w:spacing w:after="0" w:line="241" w:lineRule="auto"/>
        <w:rPr>
          <w:sz w:val="20"/>
          <w:szCs w:val="20"/>
          <w:color w:val="auto"/>
        </w:rPr>
      </w:pPr>
      <w:r>
        <w:rPr>
          <w:rFonts w:ascii="Times New Roman" w:cs="Times New Roman" w:eastAsia="Times New Roman" w:hAnsi="Times New Roman"/>
          <w:sz w:val="18"/>
          <w:szCs w:val="18"/>
          <w:color w:val="auto"/>
        </w:rPr>
        <w:t>The Compensation Committee sets stock option exercise prices and terms, except that stock options must be granted with an exercise price not less than 100% of the fair market value of the common stock on the date of grant. The Compensation Committee may grant either incentive stock options, which must comply with Section 422 of the Code, or nonqualified stock options. At the time of grant, the Compensation Committee determines the terms and conditions of stock options, including the quantity, exercise price, vesting periods, term (which cannot exceed ten years) and other conditions on exercise.</w:t>
      </w:r>
    </w:p>
    <w:p>
      <w:pPr>
        <w:spacing w:after="0" w:line="211" w:lineRule="exact"/>
        <w:rPr>
          <w:sz w:val="20"/>
          <w:szCs w:val="20"/>
          <w:color w:val="auto"/>
        </w:rPr>
      </w:pPr>
    </w:p>
    <w:p>
      <w:pPr>
        <w:jc w:val="both"/>
        <w:ind w:left="2560" w:right="20"/>
        <w:spacing w:after="0" w:line="245" w:lineRule="auto"/>
        <w:rPr>
          <w:sz w:val="20"/>
          <w:szCs w:val="20"/>
          <w:color w:val="auto"/>
        </w:rPr>
      </w:pPr>
      <w:r>
        <w:rPr>
          <w:rFonts w:ascii="Times New Roman" w:cs="Times New Roman" w:eastAsia="Times New Roman" w:hAnsi="Times New Roman"/>
          <w:sz w:val="18"/>
          <w:szCs w:val="18"/>
          <w:color w:val="auto"/>
        </w:rPr>
        <w:t>The Compensation Committee may grant SARs as a right in tandem with the number of shares underlying stock options granted under the 2019 Plan or as a freestanding award. Upon exercise, SARs entitle the holder to receive payment per share in stock or cash, or in a combination of stock and cash, equal to the excess of the share’s fair market value on the date of exercise over the grant price of the SAR.</w:t>
      </w:r>
    </w:p>
    <w:p>
      <w:pPr>
        <w:spacing w:after="0" w:line="208" w:lineRule="exact"/>
        <w:rPr>
          <w:sz w:val="20"/>
          <w:szCs w:val="20"/>
          <w:color w:val="auto"/>
        </w:rPr>
      </w:pPr>
    </w:p>
    <w:p>
      <w:pPr>
        <w:jc w:val="both"/>
        <w:ind w:left="2560" w:right="20"/>
        <w:spacing w:after="0" w:line="238" w:lineRule="auto"/>
        <w:rPr>
          <w:sz w:val="20"/>
          <w:szCs w:val="20"/>
          <w:color w:val="auto"/>
        </w:rPr>
      </w:pPr>
      <w:r>
        <w:rPr>
          <w:rFonts w:ascii="Times New Roman" w:cs="Times New Roman" w:eastAsia="Times New Roman" w:hAnsi="Times New Roman"/>
          <w:sz w:val="18"/>
          <w:szCs w:val="18"/>
          <w:color w:val="auto"/>
        </w:rPr>
        <w:t>The Compensation Committee may also grant awards of restricted stock, which are shares of common stock subject to specified restrictions, and restricted stock units, which represent the right to receive shares of common stock in the future. These awards may be made subject to repurchase, forfeiture or vesting restrictions at the Compensation Committee’s discretion. The restrictions may be based on continuous service with the Company or the attainment of specified performance goals, as determined by the Compensation Committee. Stock units may be paid in stock or cash or a combination of stock and cash, as determined by the Compensation Committee.</w:t>
      </w:r>
    </w:p>
    <w:p>
      <w:pPr>
        <w:spacing w:after="0" w:line="213" w:lineRule="exact"/>
        <w:rPr>
          <w:sz w:val="20"/>
          <w:szCs w:val="20"/>
          <w:color w:val="auto"/>
        </w:rPr>
      </w:pPr>
    </w:p>
    <w:p>
      <w:pPr>
        <w:jc w:val="both"/>
        <w:ind w:left="2560" w:right="20"/>
        <w:spacing w:after="0" w:line="242" w:lineRule="auto"/>
        <w:rPr>
          <w:sz w:val="20"/>
          <w:szCs w:val="20"/>
          <w:color w:val="auto"/>
        </w:rPr>
      </w:pPr>
      <w:r>
        <w:rPr>
          <w:rFonts w:ascii="Times New Roman" w:cs="Times New Roman" w:eastAsia="Times New Roman" w:hAnsi="Times New Roman"/>
          <w:sz w:val="18"/>
          <w:szCs w:val="18"/>
          <w:color w:val="auto"/>
        </w:rPr>
        <w:t>The Compensation Committee may condition the grant, exercise, vesting, or settlement of any award on such performance conditions as it may specify. We refer to these awards as “performance awards.” The Compensation Committee may select such business criteria or other performance measures as it may deem appropriate in establishing any performance conditions. At March 31, 2026, the Compensation Committee has not granted any performance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Authorized Shares</w:t>
            </w:r>
          </w:p>
        </w:tc>
        <w:tc>
          <w:tcPr>
            <w:tcW w:w="9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As of the date of this Annual Report, a total of 5.0 million shares of common stock is authorized for issuance under the</w:t>
            </w:r>
          </w:p>
        </w:tc>
      </w:tr>
      <w:tr>
        <w:trPr>
          <w:trHeight w:val="234"/>
        </w:trPr>
        <w:tc>
          <w:tcPr>
            <w:tcW w:w="2000" w:type="dxa"/>
            <w:vAlign w:val="bottom"/>
            <w:shd w:val="clear" w:color="auto" w:fill="CCEEFF"/>
          </w:tcPr>
          <w:p>
            <w:pPr>
              <w:spacing w:after="0"/>
              <w:rPr>
                <w:sz w:val="20"/>
                <w:szCs w:val="20"/>
                <w:color w:val="auto"/>
              </w:rPr>
            </w:pPr>
          </w:p>
        </w:tc>
        <w:tc>
          <w:tcPr>
            <w:tcW w:w="9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2019 Plan.</w:t>
            </w:r>
          </w:p>
        </w:tc>
      </w:tr>
      <w:tr>
        <w:trPr>
          <w:trHeight w:val="414"/>
        </w:trPr>
        <w:tc>
          <w:tcPr>
            <w:tcW w:w="2000" w:type="dxa"/>
            <w:vAlign w:val="bottom"/>
            <w:shd w:val="clear" w:color="auto" w:fill="CCEEFF"/>
          </w:tcPr>
          <w:p>
            <w:pPr>
              <w:spacing w:after="0"/>
              <w:rPr>
                <w:sz w:val="24"/>
                <w:szCs w:val="24"/>
                <w:color w:val="auto"/>
              </w:rPr>
            </w:pPr>
          </w:p>
        </w:tc>
        <w:tc>
          <w:tcPr>
            <w:tcW w:w="9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In the event any award under the 2019 Plan is canceled, terminates, expires or lapses for any reason prior to the issuance</w:t>
            </w:r>
          </w:p>
        </w:tc>
      </w:tr>
      <w:tr>
        <w:trPr>
          <w:trHeight w:val="203"/>
        </w:trPr>
        <w:tc>
          <w:tcPr>
            <w:tcW w:w="2000" w:type="dxa"/>
            <w:vAlign w:val="bottom"/>
            <w:shd w:val="clear" w:color="auto" w:fill="CCEEFF"/>
          </w:tcPr>
          <w:p>
            <w:pPr>
              <w:spacing w:after="0"/>
              <w:rPr>
                <w:sz w:val="17"/>
                <w:szCs w:val="17"/>
                <w:color w:val="auto"/>
              </w:rPr>
            </w:pPr>
          </w:p>
        </w:tc>
        <w:tc>
          <w:tcPr>
            <w:tcW w:w="9240" w:type="dxa"/>
            <w:vAlign w:val="bottom"/>
            <w:shd w:val="clear" w:color="auto" w:fill="CCEEFF"/>
          </w:tcPr>
          <w:p>
            <w:pPr>
              <w:ind w:left="560"/>
              <w:spacing w:after="0" w:line="202" w:lineRule="exact"/>
              <w:rPr>
                <w:sz w:val="20"/>
                <w:szCs w:val="20"/>
                <w:color w:val="auto"/>
              </w:rPr>
            </w:pPr>
            <w:r>
              <w:rPr>
                <w:rFonts w:ascii="Times New Roman" w:cs="Times New Roman" w:eastAsia="Times New Roman" w:hAnsi="Times New Roman"/>
                <w:sz w:val="18"/>
                <w:szCs w:val="18"/>
                <w:color w:val="auto"/>
              </w:rPr>
              <w:t>of shares or if shares are issued under the 2019 Plan and thereafter are forfeited to us, the shares subject to such awards</w:t>
            </w:r>
          </w:p>
        </w:tc>
      </w:tr>
      <w:tr>
        <w:trPr>
          <w:trHeight w:val="234"/>
        </w:trPr>
        <w:tc>
          <w:tcPr>
            <w:tcW w:w="2000" w:type="dxa"/>
            <w:vAlign w:val="bottom"/>
            <w:shd w:val="clear" w:color="auto" w:fill="CCEEFF"/>
          </w:tcPr>
          <w:p>
            <w:pPr>
              <w:spacing w:after="0"/>
              <w:rPr>
                <w:sz w:val="20"/>
                <w:szCs w:val="20"/>
                <w:color w:val="auto"/>
              </w:rPr>
            </w:pPr>
          </w:p>
        </w:tc>
        <w:tc>
          <w:tcPr>
            <w:tcW w:w="9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and the forfeited shares will again be available for grant under the 2019 Plan.</w:t>
            </w:r>
          </w:p>
        </w:tc>
      </w:tr>
      <w:tr>
        <w:trPr>
          <w:trHeight w:val="270"/>
        </w:trPr>
        <w:tc>
          <w:tcPr>
            <w:tcW w:w="2000" w:type="dxa"/>
            <w:vAlign w:val="bottom"/>
            <w:shd w:val="clear" w:color="auto" w:fill="CCEEFF"/>
          </w:tcPr>
          <w:p>
            <w:pPr>
              <w:spacing w:after="0"/>
              <w:rPr>
                <w:sz w:val="23"/>
                <w:szCs w:val="23"/>
                <w:color w:val="auto"/>
              </w:rPr>
            </w:pPr>
          </w:p>
        </w:tc>
        <w:tc>
          <w:tcPr>
            <w:tcW w:w="9240" w:type="dxa"/>
            <w:vAlign w:val="bottom"/>
            <w:shd w:val="clear" w:color="auto" w:fill="CCEEFF"/>
          </w:tcPr>
          <w:p>
            <w:pPr>
              <w:spacing w:after="0"/>
              <w:rPr>
                <w:sz w:val="23"/>
                <w:szCs w:val="23"/>
                <w:color w:val="auto"/>
              </w:rPr>
            </w:pPr>
          </w:p>
        </w:tc>
      </w:tr>
      <w:tr>
        <w:trPr>
          <w:trHeight w:val="198"/>
        </w:trPr>
        <w:tc>
          <w:tcPr>
            <w:tcW w:w="20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Vesting</w:t>
            </w:r>
          </w:p>
        </w:tc>
        <w:tc>
          <w:tcPr>
            <w:tcW w:w="9240" w:type="dxa"/>
            <w:vAlign w:val="bottom"/>
          </w:tcPr>
          <w:p>
            <w:pPr>
              <w:ind w:left="560"/>
              <w:spacing w:after="0" w:line="198" w:lineRule="exact"/>
              <w:rPr>
                <w:sz w:val="20"/>
                <w:szCs w:val="20"/>
                <w:color w:val="auto"/>
              </w:rPr>
            </w:pPr>
            <w:r>
              <w:rPr>
                <w:rFonts w:ascii="Times New Roman" w:cs="Times New Roman" w:eastAsia="Times New Roman" w:hAnsi="Times New Roman"/>
                <w:sz w:val="18"/>
                <w:szCs w:val="18"/>
                <w:color w:val="auto"/>
              </w:rPr>
              <w:t>No more than 25% of any equity-based awards granted under the 2019 Plan may vest on the grant date of such award.</w:t>
            </w:r>
          </w:p>
        </w:tc>
      </w:tr>
      <w:tr>
        <w:trPr>
          <w:trHeight w:val="203"/>
        </w:trPr>
        <w:tc>
          <w:tcPr>
            <w:tcW w:w="2000" w:type="dxa"/>
            <w:vAlign w:val="bottom"/>
          </w:tcPr>
          <w:p>
            <w:pPr>
              <w:spacing w:after="0"/>
              <w:rPr>
                <w:sz w:val="17"/>
                <w:szCs w:val="17"/>
                <w:color w:val="auto"/>
              </w:rPr>
            </w:pPr>
          </w:p>
        </w:tc>
        <w:tc>
          <w:tcPr>
            <w:tcW w:w="9240" w:type="dxa"/>
            <w:vAlign w:val="bottom"/>
          </w:tcPr>
          <w:p>
            <w:pPr>
              <w:ind w:left="560"/>
              <w:spacing w:after="0" w:line="202" w:lineRule="exact"/>
              <w:rPr>
                <w:sz w:val="20"/>
                <w:szCs w:val="20"/>
                <w:color w:val="auto"/>
              </w:rPr>
            </w:pPr>
            <w:r>
              <w:rPr>
                <w:rFonts w:ascii="Times New Roman" w:cs="Times New Roman" w:eastAsia="Times New Roman" w:hAnsi="Times New Roman"/>
                <w:sz w:val="18"/>
                <w:szCs w:val="18"/>
                <w:color w:val="auto"/>
              </w:rPr>
              <w:t>The Board believes this provision provides the Company the necessary flexibility to issue Awards that will both attract</w:t>
            </w:r>
          </w:p>
        </w:tc>
      </w:tr>
      <w:tr>
        <w:trPr>
          <w:trHeight w:val="203"/>
        </w:trPr>
        <w:tc>
          <w:tcPr>
            <w:tcW w:w="2000" w:type="dxa"/>
            <w:vAlign w:val="bottom"/>
          </w:tcPr>
          <w:p>
            <w:pPr>
              <w:spacing w:after="0"/>
              <w:rPr>
                <w:sz w:val="17"/>
                <w:szCs w:val="17"/>
                <w:color w:val="auto"/>
              </w:rPr>
            </w:pPr>
          </w:p>
        </w:tc>
        <w:tc>
          <w:tcPr>
            <w:tcW w:w="9240" w:type="dxa"/>
            <w:vAlign w:val="bottom"/>
          </w:tcPr>
          <w:p>
            <w:pPr>
              <w:ind w:left="560"/>
              <w:spacing w:after="0" w:line="202" w:lineRule="exact"/>
              <w:rPr>
                <w:sz w:val="20"/>
                <w:szCs w:val="20"/>
                <w:color w:val="auto"/>
              </w:rPr>
            </w:pPr>
            <w:r>
              <w:rPr>
                <w:rFonts w:ascii="Times New Roman" w:cs="Times New Roman" w:eastAsia="Times New Roman" w:hAnsi="Times New Roman"/>
                <w:sz w:val="18"/>
                <w:szCs w:val="18"/>
                <w:color w:val="auto"/>
              </w:rPr>
              <w:t>new talent, particularly as the Company advances its late-stage clinical development and commercialization plans for its</w:t>
            </w:r>
          </w:p>
        </w:tc>
      </w:tr>
      <w:tr>
        <w:trPr>
          <w:trHeight w:val="234"/>
        </w:trPr>
        <w:tc>
          <w:tcPr>
            <w:tcW w:w="2000" w:type="dxa"/>
            <w:vAlign w:val="bottom"/>
          </w:tcPr>
          <w:p>
            <w:pPr>
              <w:spacing w:after="0"/>
              <w:rPr>
                <w:sz w:val="20"/>
                <w:szCs w:val="20"/>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drug candidates and provide incentives sufficient to retain the Company’s existing employees and directors.</w:t>
            </w:r>
          </w:p>
        </w:tc>
      </w:tr>
      <w:tr>
        <w:trPr>
          <w:trHeight w:val="414"/>
        </w:trPr>
        <w:tc>
          <w:tcPr>
            <w:tcW w:w="2000" w:type="dxa"/>
            <w:vAlign w:val="bottom"/>
          </w:tcPr>
          <w:p>
            <w:pPr>
              <w:spacing w:after="0"/>
              <w:rPr>
                <w:sz w:val="24"/>
                <w:szCs w:val="2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This requirement does not apply to (i) substitute awards resulting from acquisitions or (ii) shares delivered in lieu of</w:t>
            </w:r>
          </w:p>
        </w:tc>
      </w:tr>
      <w:tr>
        <w:trPr>
          <w:trHeight w:val="203"/>
        </w:trPr>
        <w:tc>
          <w:tcPr>
            <w:tcW w:w="2000" w:type="dxa"/>
            <w:vAlign w:val="bottom"/>
          </w:tcPr>
          <w:p>
            <w:pPr>
              <w:spacing w:after="0"/>
              <w:rPr>
                <w:sz w:val="17"/>
                <w:szCs w:val="17"/>
                <w:color w:val="auto"/>
              </w:rPr>
            </w:pPr>
          </w:p>
        </w:tc>
        <w:tc>
          <w:tcPr>
            <w:tcW w:w="9240" w:type="dxa"/>
            <w:vAlign w:val="bottom"/>
          </w:tcPr>
          <w:p>
            <w:pPr>
              <w:ind w:left="560"/>
              <w:spacing w:after="0" w:line="202" w:lineRule="exact"/>
              <w:rPr>
                <w:sz w:val="20"/>
                <w:szCs w:val="20"/>
                <w:color w:val="auto"/>
              </w:rPr>
            </w:pPr>
            <w:r>
              <w:rPr>
                <w:rFonts w:ascii="Times New Roman" w:cs="Times New Roman" w:eastAsia="Times New Roman" w:hAnsi="Times New Roman"/>
                <w:sz w:val="18"/>
                <w:szCs w:val="18"/>
                <w:color w:val="auto"/>
              </w:rPr>
              <w:t>fully vested cash awards. In addition, the minimum vesting requirement does not apply to the Compensation</w:t>
            </w:r>
          </w:p>
        </w:tc>
      </w:tr>
      <w:tr>
        <w:trPr>
          <w:trHeight w:val="189"/>
        </w:trPr>
        <w:tc>
          <w:tcPr>
            <w:tcW w:w="2000" w:type="dxa"/>
            <w:vAlign w:val="bottom"/>
          </w:tcPr>
          <w:p>
            <w:pPr>
              <w:spacing w:after="0"/>
              <w:rPr>
                <w:sz w:val="16"/>
                <w:szCs w:val="16"/>
                <w:color w:val="auto"/>
              </w:rPr>
            </w:pPr>
          </w:p>
        </w:tc>
        <w:tc>
          <w:tcPr>
            <w:tcW w:w="9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auto"/>
              </w:rPr>
              <w:t>Committee’s discretion to provide for accelerated exercisability or vesting of any award, including in cases of</w:t>
            </w:r>
          </w:p>
        </w:tc>
      </w:tr>
      <w:tr>
        <w:trPr>
          <w:trHeight w:val="203"/>
        </w:trPr>
        <w:tc>
          <w:tcPr>
            <w:tcW w:w="2000" w:type="dxa"/>
            <w:vAlign w:val="bottom"/>
          </w:tcPr>
          <w:p>
            <w:pPr>
              <w:spacing w:after="0"/>
              <w:rPr>
                <w:sz w:val="17"/>
                <w:szCs w:val="17"/>
                <w:color w:val="auto"/>
              </w:rPr>
            </w:pPr>
          </w:p>
        </w:tc>
        <w:tc>
          <w:tcPr>
            <w:tcW w:w="9240" w:type="dxa"/>
            <w:vAlign w:val="bottom"/>
          </w:tcPr>
          <w:p>
            <w:pPr>
              <w:ind w:left="560"/>
              <w:spacing w:after="0" w:line="202" w:lineRule="exact"/>
              <w:rPr>
                <w:sz w:val="20"/>
                <w:szCs w:val="20"/>
                <w:color w:val="auto"/>
              </w:rPr>
            </w:pPr>
            <w:r>
              <w:rPr>
                <w:rFonts w:ascii="Times New Roman" w:cs="Times New Roman" w:eastAsia="Times New Roman" w:hAnsi="Times New Roman"/>
                <w:sz w:val="18"/>
                <w:szCs w:val="18"/>
                <w:color w:val="auto"/>
              </w:rPr>
              <w:t>retirement, death, disability or a change in control, in the terms of the award or otherwise. Awards are not transferable</w:t>
            </w:r>
          </w:p>
        </w:tc>
      </w:tr>
      <w:tr>
        <w:trPr>
          <w:trHeight w:val="203"/>
        </w:trPr>
        <w:tc>
          <w:tcPr>
            <w:tcW w:w="2000" w:type="dxa"/>
            <w:vAlign w:val="bottom"/>
          </w:tcPr>
          <w:p>
            <w:pPr>
              <w:spacing w:after="0"/>
              <w:rPr>
                <w:sz w:val="17"/>
                <w:szCs w:val="17"/>
                <w:color w:val="auto"/>
              </w:rPr>
            </w:pPr>
          </w:p>
        </w:tc>
        <w:tc>
          <w:tcPr>
            <w:tcW w:w="9240" w:type="dxa"/>
            <w:vAlign w:val="bottom"/>
          </w:tcPr>
          <w:p>
            <w:pPr>
              <w:ind w:left="560"/>
              <w:spacing w:after="0" w:line="202" w:lineRule="exact"/>
              <w:rPr>
                <w:sz w:val="20"/>
                <w:szCs w:val="20"/>
                <w:color w:val="auto"/>
              </w:rPr>
            </w:pPr>
            <w:r>
              <w:rPr>
                <w:rFonts w:ascii="Times New Roman" w:cs="Times New Roman" w:eastAsia="Times New Roman" w:hAnsi="Times New Roman"/>
                <w:sz w:val="18"/>
                <w:szCs w:val="18"/>
                <w:color w:val="auto"/>
                <w:w w:val="99"/>
              </w:rPr>
              <w:t>other than by will or the laws of descent and distribution, except that in certain instances transfers may be made to or for</w:t>
            </w:r>
          </w:p>
        </w:tc>
      </w:tr>
      <w:tr>
        <w:trPr>
          <w:trHeight w:val="234"/>
        </w:trPr>
        <w:tc>
          <w:tcPr>
            <w:tcW w:w="2000" w:type="dxa"/>
            <w:vAlign w:val="bottom"/>
          </w:tcPr>
          <w:p>
            <w:pPr>
              <w:spacing w:after="0"/>
              <w:rPr>
                <w:sz w:val="20"/>
                <w:szCs w:val="20"/>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benefit of designated family members of the participant for no consideration.</w:t>
            </w: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2019 Employee Stock Purchase Plan. </w:t>
      </w:r>
      <w:r>
        <w:rPr>
          <w:rFonts w:ascii="Times New Roman" w:cs="Times New Roman" w:eastAsia="Times New Roman" w:hAnsi="Times New Roman"/>
          <w:sz w:val="18"/>
          <w:szCs w:val="18"/>
          <w:color w:val="auto"/>
        </w:rPr>
        <w:t>Please see Part III, Item 11 for a description of the 2019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7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color w:val="auto"/>
        </w:rPr>
        <w:t>For director independence, please see Item 10.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Audit Committee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the Audit Committee. As such, any request for the Company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the Audit Committee for review, consideration and approval. In approving or rejecting any such proposal, the Audit Committee is to consider the material facts of the transaction, including whether the transaction is on terms comparable to the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Since April 1, 2025, we have not participated in any related party transactions in which the amount involved exceeded or will exceed the lesser of $120,000 or 1% of the average of our total assets in a fiscal year,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have been reported pursuant to Item 402 of Regulation S-K or in the case of an executive officer who is not a named executive officer, would have been reported pursuant to Item 402 of Regulation S-K if such executive officer were a named executive officer provided such compensation has been approved, or recommended to the Board for approval, by the Compensation Committee (or group of independent directors performing a similar function).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Restated and Amended Articles of Incorporation, as amended (our Charter) contains provisions limiting the liability of directors, and our Bylaws provide that we will indemnify each of our directors and officers to the fullest extent permitted under Nevada law. Our Charter and Bylaws also provide the Board with discretion to indemnify our employees and other agents when determined appropriate by the Board. In addition, we have entered into an indemnification agreement with each of our directors and executive officers, which will require us to indemnify them.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8"/>
          <w:szCs w:val="18"/>
          <w:color w:val="auto"/>
        </w:rPr>
        <w:t>Our independent registered public accounting firm is KPMG LLP, San Francisco, CA, Audit Firm ID: 185. The following table represents aggregate fees billed to the Company for the years ended March 31, 2026 and 2025, by KPMG LLP (KPMG).</w:t>
      </w:r>
    </w:p>
    <w:p>
      <w:pPr>
        <w:spacing w:after="0" w:line="25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Fiscal Years Ended</w:t>
      </w:r>
    </w:p>
    <w:p>
      <w:pPr>
        <w:spacing w:after="0" w:line="2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fees(2)</w:t>
            </w:r>
          </w:p>
        </w:tc>
        <w:tc>
          <w:tcPr>
            <w:tcW w:w="360" w:type="dxa"/>
            <w:vAlign w:val="bottom"/>
          </w:tcPr>
          <w:p>
            <w:pPr>
              <w:spacing w:after="0"/>
              <w:rPr>
                <w:sz w:val="19"/>
                <w:szCs w:val="19"/>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fees(3)</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fees(4)</w:t>
            </w:r>
          </w:p>
        </w:tc>
        <w:tc>
          <w:tcPr>
            <w:tcW w:w="360" w:type="dxa"/>
            <w:vAlign w:val="bottom"/>
          </w:tcPr>
          <w:p>
            <w:pPr>
              <w:spacing w:after="0"/>
              <w:rPr>
                <w:sz w:val="19"/>
                <w:szCs w:val="19"/>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r>
      <w:tr>
        <w:trPr>
          <w:trHeight w:val="248"/>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80" w:firstLine="8"/>
        <w:spacing w:after="0" w:line="258"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aggregate fees for professional services provided by our auditor in connection with the annual audit of our consolidated financial statements, the review of our quarterly condensed consolidated financial statements, consultations on accounting matters directly related to the audit, and comfort letters, consents and assistance with and review of documents filed with the SEC.</w:t>
      </w:r>
    </w:p>
    <w:p>
      <w:pPr>
        <w:spacing w:after="0" w:line="196"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and expenses billed for professional services for assurance and related services that are reasonably related to the performance of the audit or review of our consolidated financial statements and are not reported under “Audit Fees.”</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and expenses billed for professional services rendered by our auditor for tax compliance, tax advice and tax planning.</w:t>
      </w:r>
    </w:p>
    <w:p>
      <w:pPr>
        <w:spacing w:after="0" w:line="2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aggregate fees billed for products and services provided by our auditor other than those fees disclosed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Under the SEC’s rules, the Audit Committee is required to pre-approve the audit and non-audit services performed by the independent registered public accounting firm in order to ensure that they do not impair the auditors’ independence. The SEC’s rules specify the types of non-audit services that an independent auditor may not provide to its audit client and establish the Audit Committee’s responsibility for administration of the engagement of the independent registered public accounting firm.</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50" w:name="page151"/>
    <w:bookmarkEnd w:id="150"/>
    <w:p>
      <w:pPr>
        <w:jc w:val="both"/>
        <w:spacing w:after="0" w:line="250" w:lineRule="auto"/>
        <w:rPr>
          <w:sz w:val="20"/>
          <w:szCs w:val="20"/>
          <w:color w:val="auto"/>
        </w:rPr>
      </w:pPr>
      <w:r>
        <w:rPr>
          <w:rFonts w:ascii="Times New Roman" w:cs="Times New Roman" w:eastAsia="Times New Roman" w:hAnsi="Times New Roman"/>
          <w:sz w:val="18"/>
          <w:szCs w:val="18"/>
          <w:color w:val="auto"/>
        </w:rPr>
        <w:t>Consistent with the SEC’s rules, the Audit Committee Charter requires that the Audit Committee review and pre-approve all audit services and permitted non-audit services provided by the independent registered public accounting firm to us or any of our subsidiaries. Accordingly, 100% of audit services and non-audit services described in this Item 14 were pre-approved by the Audit Committee.</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hours expended on the principal accountant’s engagement to audit the registrant’s financial statements for the most recent fiscal year that were attributed to work performed by persons other than the principal accountant’s full-time, permanent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under Item 8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Consolidated Financial Statement Schedules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 Index below are filed or incorporated by reference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None.</w:t>
            </w:r>
          </w:p>
        </w:tc>
        <w:tc>
          <w:tcPr>
            <w:tcW w:w="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13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1"/>
                <w:szCs w:val="21"/>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1360" w:type="dxa"/>
            <w:vAlign w:val="bottom"/>
            <w:tcBorders>
              <w:bottom w:val="single" w:sz="8" w:color="auto"/>
            </w:tcBorders>
            <w:gridSpan w:val="5"/>
            <w:vMerge w:val="continue"/>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0" w:type="dxa"/>
            <w:vAlign w:val="bottom"/>
            <w:gridSpan w:val="3"/>
          </w:tcPr>
          <w:p>
            <w:pPr>
              <w:jc w:val="center"/>
              <w:ind w:left="490"/>
              <w:spacing w:after="0" w:line="202" w:lineRule="exact"/>
              <w:rPr>
                <w:rFonts w:ascii="Times New Roman" w:cs="Times New Roman" w:eastAsia="Times New Roman" w:hAnsi="Times New Roman"/>
                <w:sz w:val="18"/>
                <w:szCs w:val="18"/>
                <w:color w:val="0000FF"/>
                <w:w w:val="97"/>
              </w:rPr>
            </w:pPr>
            <w:hyperlink r:id="rId197">
              <w:r>
                <w:rPr>
                  <w:rFonts w:ascii="Times New Roman" w:cs="Times New Roman" w:eastAsia="Times New Roman" w:hAnsi="Times New Roman"/>
                  <w:sz w:val="18"/>
                  <w:szCs w:val="18"/>
                  <w:color w:val="0000FF"/>
                  <w:w w:val="97"/>
                </w:rPr>
                <w:t>1.</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dated May 14, 2021, by and between Vistagen Therapeutics, Inc. and Jefferies LLC, incorporated by</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reference from Exhibit 1.1 to the Company’s Current Report on Form 8-K filed on May 14, 2021.</w:t>
            </w:r>
          </w:p>
        </w:tc>
        <w:tc>
          <w:tcPr>
            <w:tcW w:w="0" w:type="dxa"/>
            <w:vAlign w:val="bottom"/>
          </w:tcPr>
          <w:p>
            <w:pPr>
              <w:spacing w:after="0"/>
              <w:rPr>
                <w:sz w:val="1"/>
                <w:szCs w:val="1"/>
                <w:color w:val="auto"/>
              </w:rPr>
            </w:pPr>
          </w:p>
        </w:tc>
      </w:tr>
      <w:tr>
        <w:trPr>
          <w:trHeight w:val="27"/>
        </w:trPr>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3"/>
          </w:tcPr>
          <w:p>
            <w:pPr>
              <w:jc w:val="center"/>
              <w:ind w:left="490"/>
              <w:spacing w:after="0" w:line="169" w:lineRule="exact"/>
              <w:rPr>
                <w:rFonts w:ascii="Times New Roman" w:cs="Times New Roman" w:eastAsia="Times New Roman" w:hAnsi="Times New Roman"/>
                <w:sz w:val="18"/>
                <w:szCs w:val="18"/>
                <w:color w:val="0000FF"/>
                <w:w w:val="97"/>
              </w:rPr>
            </w:pPr>
            <w:hyperlink r:id="rId198">
              <w:r>
                <w:rPr>
                  <w:rFonts w:ascii="Times New Roman" w:cs="Times New Roman" w:eastAsia="Times New Roman" w:hAnsi="Times New Roman"/>
                  <w:sz w:val="18"/>
                  <w:szCs w:val="18"/>
                  <w:color w:val="0000FF"/>
                  <w:w w:val="97"/>
                </w:rPr>
                <w:t>1.</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8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Underwriting Agreement, dated as of October 2, 2023, by and among the Company, Jefferies LLC, Stifel, Nicolaus &amp; Company,</w:t>
            </w:r>
          </w:p>
        </w:tc>
        <w:tc>
          <w:tcPr>
            <w:tcW w:w="0" w:type="dxa"/>
            <w:vAlign w:val="bottom"/>
          </w:tcPr>
          <w:p>
            <w:pPr>
              <w:spacing w:after="0"/>
              <w:rPr>
                <w:sz w:val="1"/>
                <w:szCs w:val="1"/>
                <w:color w:val="auto"/>
              </w:rPr>
            </w:pPr>
          </w:p>
        </w:tc>
      </w:tr>
      <w:tr>
        <w:trPr>
          <w:trHeight w:val="205"/>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9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Incorporated and William Blair &amp; Company, L.L.C., incorporated by reference from Exhibit 1.1 to the Company’s Current Report on</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October 4, 2023.</w:t>
            </w:r>
          </w:p>
        </w:tc>
        <w:tc>
          <w:tcPr>
            <w:tcW w:w="0" w:type="dxa"/>
            <w:vAlign w:val="bottom"/>
          </w:tcPr>
          <w:p>
            <w:pPr>
              <w:spacing w:after="0"/>
              <w:rPr>
                <w:sz w:val="1"/>
                <w:szCs w:val="1"/>
                <w:color w:val="auto"/>
              </w:rPr>
            </w:pPr>
          </w:p>
        </w:tc>
      </w:tr>
      <w:tr>
        <w:trPr>
          <w:trHeight w:val="27"/>
        </w:trPr>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60" w:type="dxa"/>
            <w:vAlign w:val="bottom"/>
            <w:gridSpan w:val="5"/>
          </w:tcPr>
          <w:p>
            <w:pPr>
              <w:jc w:val="cente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20" w:type="dxa"/>
            <w:vAlign w:val="bottom"/>
            <w:shd w:val="clear" w:color="auto" w:fill="000000"/>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Agreement and Plan of Merger by and among Excaliber Enterprises, Ltd., Vistagen Therapeutics, Inc. and Excaliber Merger Subsidiary,</w:t>
            </w:r>
          </w:p>
        </w:tc>
        <w:tc>
          <w:tcPr>
            <w:tcW w:w="0" w:type="dxa"/>
            <w:vAlign w:val="bottom"/>
          </w:tcPr>
          <w:p>
            <w:pPr>
              <w:spacing w:after="0"/>
              <w:rPr>
                <w:sz w:val="1"/>
                <w:szCs w:val="1"/>
                <w:color w:val="auto"/>
              </w:rPr>
            </w:pPr>
          </w:p>
        </w:tc>
      </w:tr>
      <w:tr>
        <w:trPr>
          <w:trHeight w:val="230"/>
        </w:trPr>
        <w:tc>
          <w:tcPr>
            <w:tcW w:w="520" w:type="dxa"/>
            <w:vAlign w:val="bottom"/>
            <w:tcBorders>
              <w:bottom w:val="single" w:sz="8" w:color="auto"/>
            </w:tcBorders>
          </w:tcPr>
          <w:p>
            <w:pPr>
              <w:spacing w:after="0"/>
              <w:rPr>
                <w:sz w:val="20"/>
                <w:szCs w:val="20"/>
                <w:color w:val="auto"/>
              </w:rPr>
            </w:pPr>
          </w:p>
        </w:tc>
        <w:tc>
          <w:tcPr>
            <w:tcW w:w="60" w:type="dxa"/>
            <w:vAlign w:val="bottom"/>
            <w:tcBorders>
              <w:top w:val="single" w:sz="8" w:color="0000FF"/>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40" w:type="dxa"/>
            <w:vAlign w:val="bottom"/>
            <w:tcBorders>
              <w:top w:val="single" w:sz="8" w:color="0000FF"/>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w:t>
            </w:r>
          </w:p>
        </w:tc>
        <w:tc>
          <w:tcPr>
            <w:tcW w:w="0" w:type="dxa"/>
            <w:vAlign w:val="bottom"/>
          </w:tcPr>
          <w:p>
            <w:pPr>
              <w:spacing w:after="0"/>
              <w:rPr>
                <w:sz w:val="1"/>
                <w:szCs w:val="1"/>
                <w:color w:val="auto"/>
              </w:rPr>
            </w:pPr>
          </w:p>
        </w:tc>
      </w:tr>
      <w:tr>
        <w:trPr>
          <w:trHeight w:val="203"/>
        </w:trPr>
        <w:tc>
          <w:tcPr>
            <w:tcW w:w="800" w:type="dxa"/>
            <w:vAlign w:val="bottom"/>
            <w:gridSpan w:val="3"/>
          </w:tcPr>
          <w:p>
            <w:pPr>
              <w:jc w:val="center"/>
              <w:ind w:left="490"/>
              <w:spacing w:after="0" w:line="202" w:lineRule="exact"/>
              <w:rPr>
                <w:rFonts w:ascii="Times New Roman" w:cs="Times New Roman" w:eastAsia="Times New Roman" w:hAnsi="Times New Roman"/>
                <w:sz w:val="18"/>
                <w:szCs w:val="18"/>
                <w:color w:val="0000FF"/>
                <w:w w:val="97"/>
              </w:rPr>
            </w:pPr>
            <w:hyperlink r:id="rId200">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Agreement and Plan of Merger, by and among Vistagen Therapeutics, Inc., VTGN Merger Sub, Inc., Pherin Pharmaceuticals, Inc. and</w:t>
            </w: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9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McCarthy dated December 20, 2022, incorporated by reference from Exhibit 2.1 to the Company’s Current Report on Form 8-K,</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21, 2022.</w:t>
            </w:r>
          </w:p>
        </w:tc>
        <w:tc>
          <w:tcPr>
            <w:tcW w:w="0" w:type="dxa"/>
            <w:vAlign w:val="bottom"/>
          </w:tcPr>
          <w:p>
            <w:pPr>
              <w:spacing w:after="0"/>
              <w:rPr>
                <w:sz w:val="1"/>
                <w:szCs w:val="1"/>
                <w:color w:val="auto"/>
              </w:rPr>
            </w:pPr>
          </w:p>
        </w:tc>
      </w:tr>
      <w:tr>
        <w:trPr>
          <w:trHeight w:val="27"/>
        </w:trPr>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 w:type="dxa"/>
            <w:vAlign w:val="bottom"/>
            <w:gridSpan w:val="3"/>
          </w:tcPr>
          <w:p>
            <w:pPr>
              <w:jc w:val="center"/>
              <w:ind w:left="490"/>
              <w:spacing w:after="0" w:line="196" w:lineRule="exact"/>
              <w:rPr>
                <w:rFonts w:ascii="Times New Roman" w:cs="Times New Roman" w:eastAsia="Times New Roman" w:hAnsi="Times New Roman"/>
                <w:sz w:val="18"/>
                <w:szCs w:val="18"/>
                <w:color w:val="0000FF"/>
                <w:w w:val="97"/>
              </w:rPr>
            </w:pPr>
            <w:hyperlink r:id="rId20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Articles of Merger filed with the Nevada Secretary of State on May 24, 2011, incorporated by reference from Exhibit 3.1 to the</w:t>
            </w:r>
          </w:p>
        </w:tc>
        <w:tc>
          <w:tcPr>
            <w:tcW w:w="0" w:type="dxa"/>
            <w:vAlign w:val="bottom"/>
          </w:tcPr>
          <w:p>
            <w:pPr>
              <w:spacing w:after="0"/>
              <w:rPr>
                <w:sz w:val="1"/>
                <w:szCs w:val="1"/>
                <w:color w:val="auto"/>
              </w:rPr>
            </w:pPr>
          </w:p>
        </w:tc>
      </w:tr>
      <w:tr>
        <w:trPr>
          <w:trHeight w:val="230"/>
        </w:trPr>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May 31, 2011.</w:t>
            </w:r>
          </w:p>
        </w:tc>
        <w:tc>
          <w:tcPr>
            <w:tcW w:w="0" w:type="dxa"/>
            <w:vAlign w:val="bottom"/>
          </w:tcPr>
          <w:p>
            <w:pPr>
              <w:spacing w:after="0"/>
              <w:rPr>
                <w:sz w:val="1"/>
                <w:szCs w:val="1"/>
                <w:color w:val="auto"/>
              </w:rPr>
            </w:pPr>
          </w:p>
        </w:tc>
      </w:tr>
      <w:tr>
        <w:trPr>
          <w:trHeight w:val="203"/>
        </w:trPr>
        <w:tc>
          <w:tcPr>
            <w:tcW w:w="1360" w:type="dxa"/>
            <w:vAlign w:val="bottom"/>
            <w:gridSpan w:val="5"/>
          </w:tcPr>
          <w:p>
            <w:pPr>
              <w:jc w:val="center"/>
              <w:spacing w:after="0" w:line="202"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10</w:t>
              </w:r>
            </w:hyperlink>
          </w:p>
        </w:tc>
        <w:tc>
          <w:tcPr>
            <w:tcW w:w="20" w:type="dxa"/>
            <w:vAlign w:val="bottom"/>
            <w:shd w:val="clear" w:color="auto" w:fill="000000"/>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Restated Articles of Incorporation of Vistagen Therapeutics, Inc., dated August 16, 2016, incorporated by reference from Exhibit 3.1 to</w:t>
            </w:r>
          </w:p>
        </w:tc>
        <w:tc>
          <w:tcPr>
            <w:tcW w:w="0" w:type="dxa"/>
            <w:vAlign w:val="bottom"/>
          </w:tcPr>
          <w:p>
            <w:pPr>
              <w:spacing w:after="0"/>
              <w:rPr>
                <w:sz w:val="1"/>
                <w:szCs w:val="1"/>
                <w:color w:val="auto"/>
              </w:rPr>
            </w:pPr>
          </w:p>
        </w:tc>
      </w:tr>
      <w:tr>
        <w:trPr>
          <w:trHeight w:val="230"/>
        </w:trPr>
        <w:tc>
          <w:tcPr>
            <w:tcW w:w="520" w:type="dxa"/>
            <w:vAlign w:val="bottom"/>
            <w:tcBorders>
              <w:bottom w:val="single" w:sz="8" w:color="auto"/>
            </w:tcBorders>
          </w:tcPr>
          <w:p>
            <w:pPr>
              <w:spacing w:after="0"/>
              <w:rPr>
                <w:sz w:val="20"/>
                <w:szCs w:val="20"/>
                <w:color w:val="auto"/>
              </w:rPr>
            </w:pPr>
          </w:p>
        </w:tc>
        <w:tc>
          <w:tcPr>
            <w:tcW w:w="60" w:type="dxa"/>
            <w:vAlign w:val="bottom"/>
            <w:tcBorders>
              <w:top w:val="single" w:sz="8" w:color="0000FF"/>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40" w:type="dxa"/>
            <w:vAlign w:val="bottom"/>
            <w:tcBorders>
              <w:top w:val="single" w:sz="8" w:color="0000FF"/>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on August 17, 2016.</w:t>
            </w:r>
          </w:p>
        </w:tc>
        <w:tc>
          <w:tcPr>
            <w:tcW w:w="0" w:type="dxa"/>
            <w:vAlign w:val="bottom"/>
          </w:tcPr>
          <w:p>
            <w:pPr>
              <w:spacing w:after="0"/>
              <w:rPr>
                <w:sz w:val="1"/>
                <w:szCs w:val="1"/>
                <w:color w:val="auto"/>
              </w:rPr>
            </w:pPr>
          </w:p>
        </w:tc>
      </w:tr>
      <w:tr>
        <w:trPr>
          <w:trHeight w:val="203"/>
        </w:trPr>
        <w:tc>
          <w:tcPr>
            <w:tcW w:w="840" w:type="dxa"/>
            <w:vAlign w:val="bottom"/>
            <w:gridSpan w:val="4"/>
          </w:tcPr>
          <w:p>
            <w:pPr>
              <w:jc w:val="center"/>
              <w:ind w:left="430"/>
              <w:spacing w:after="0" w:line="202"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w:t>
              </w:r>
            </w:hyperlink>
          </w:p>
        </w:tc>
        <w:tc>
          <w:tcPr>
            <w:tcW w:w="5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Second Amended and Restated Bylaws of Vistagen Therapeutics, Inc., dated August 16, 2016, incorporated by reference from Exhibit</w:t>
            </w:r>
          </w:p>
        </w:tc>
        <w:tc>
          <w:tcPr>
            <w:tcW w:w="0" w:type="dxa"/>
            <w:vAlign w:val="bottom"/>
          </w:tcPr>
          <w:p>
            <w:pPr>
              <w:spacing w:after="0"/>
              <w:rPr>
                <w:sz w:val="1"/>
                <w:szCs w:val="1"/>
                <w:color w:val="auto"/>
              </w:rPr>
            </w:pPr>
          </w:p>
        </w:tc>
      </w:tr>
      <w:tr>
        <w:trPr>
          <w:trHeight w:val="230"/>
        </w:trPr>
        <w:tc>
          <w:tcPr>
            <w:tcW w:w="520" w:type="dxa"/>
            <w:vAlign w:val="bottom"/>
            <w:tcBorders>
              <w:bottom w:val="single" w:sz="8" w:color="auto"/>
            </w:tcBorders>
          </w:tcPr>
          <w:p>
            <w:pPr>
              <w:spacing w:after="0"/>
              <w:rPr>
                <w:sz w:val="20"/>
                <w:szCs w:val="20"/>
                <w:color w:val="auto"/>
              </w:rPr>
            </w:pPr>
          </w:p>
        </w:tc>
        <w:tc>
          <w:tcPr>
            <w:tcW w:w="60" w:type="dxa"/>
            <w:vAlign w:val="bottom"/>
            <w:tcBorders>
              <w:top w:val="single" w:sz="8" w:color="0000FF"/>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40" w:type="dxa"/>
            <w:vAlign w:val="bottom"/>
            <w:tcBorders>
              <w:top w:val="single" w:sz="8" w:color="0000FF"/>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3.2 to the Company’s Current Report on Form 8-K, filed on August 17, 2016.</w:t>
            </w:r>
          </w:p>
        </w:tc>
        <w:tc>
          <w:tcPr>
            <w:tcW w:w="0" w:type="dxa"/>
            <w:vAlign w:val="bottom"/>
          </w:tcPr>
          <w:p>
            <w:pPr>
              <w:spacing w:after="0"/>
              <w:rPr>
                <w:sz w:val="1"/>
                <w:szCs w:val="1"/>
                <w:color w:val="auto"/>
              </w:rPr>
            </w:pPr>
          </w:p>
        </w:tc>
      </w:tr>
      <w:tr>
        <w:trPr>
          <w:trHeight w:val="203"/>
        </w:trPr>
        <w:tc>
          <w:tcPr>
            <w:tcW w:w="1360" w:type="dxa"/>
            <w:vAlign w:val="bottom"/>
            <w:gridSpan w:val="5"/>
          </w:tcPr>
          <w:p>
            <w:pPr>
              <w:jc w:val="center"/>
              <w:spacing w:after="0" w:line="202"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12</w:t>
              </w:r>
            </w:hyperlink>
          </w:p>
        </w:tc>
        <w:tc>
          <w:tcPr>
            <w:tcW w:w="20" w:type="dxa"/>
            <w:vAlign w:val="bottom"/>
            <w:shd w:val="clear" w:color="auto" w:fill="000000"/>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Certificate of Amendment to the Restated and Amended Articles of Incorporation of Vistagen Therapeutics, Inc., dated September 15,</w:t>
            </w:r>
          </w:p>
        </w:tc>
        <w:tc>
          <w:tcPr>
            <w:tcW w:w="0" w:type="dxa"/>
            <w:vAlign w:val="bottom"/>
          </w:tcPr>
          <w:p>
            <w:pPr>
              <w:spacing w:after="0"/>
              <w:rPr>
                <w:sz w:val="1"/>
                <w:szCs w:val="1"/>
                <w:color w:val="auto"/>
              </w:rPr>
            </w:pPr>
          </w:p>
        </w:tc>
      </w:tr>
      <w:tr>
        <w:trPr>
          <w:trHeight w:val="230"/>
        </w:trPr>
        <w:tc>
          <w:tcPr>
            <w:tcW w:w="520" w:type="dxa"/>
            <w:vAlign w:val="bottom"/>
            <w:tcBorders>
              <w:bottom w:val="single" w:sz="8" w:color="auto"/>
            </w:tcBorders>
          </w:tcPr>
          <w:p>
            <w:pPr>
              <w:spacing w:after="0"/>
              <w:rPr>
                <w:sz w:val="20"/>
                <w:szCs w:val="20"/>
                <w:color w:val="auto"/>
              </w:rPr>
            </w:pPr>
          </w:p>
        </w:tc>
        <w:tc>
          <w:tcPr>
            <w:tcW w:w="60" w:type="dxa"/>
            <w:vAlign w:val="bottom"/>
            <w:tcBorders>
              <w:top w:val="single" w:sz="8" w:color="0000FF"/>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40" w:type="dxa"/>
            <w:vAlign w:val="bottom"/>
            <w:tcBorders>
              <w:top w:val="single" w:sz="8" w:color="0000FF"/>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2017; incorporated by reference from Exhibit 3.1 to the Company’s Current Report on Form 8-K, filed on September 20, 2017.</w:t>
            </w:r>
          </w:p>
        </w:tc>
        <w:tc>
          <w:tcPr>
            <w:tcW w:w="0" w:type="dxa"/>
            <w:vAlign w:val="bottom"/>
          </w:tcPr>
          <w:p>
            <w:pPr>
              <w:spacing w:after="0"/>
              <w:rPr>
                <w:sz w:val="1"/>
                <w:szCs w:val="1"/>
                <w:color w:val="auto"/>
              </w:rPr>
            </w:pPr>
          </w:p>
        </w:tc>
      </w:tr>
      <w:tr>
        <w:trPr>
          <w:trHeight w:val="203"/>
        </w:trPr>
        <w:tc>
          <w:tcPr>
            <w:tcW w:w="1360" w:type="dxa"/>
            <w:vAlign w:val="bottom"/>
            <w:gridSpan w:val="5"/>
          </w:tcPr>
          <w:p>
            <w:pPr>
              <w:jc w:val="center"/>
              <w:spacing w:after="0" w:line="202"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13</w:t>
              </w:r>
            </w:hyperlink>
          </w:p>
        </w:tc>
        <w:tc>
          <w:tcPr>
            <w:tcW w:w="20" w:type="dxa"/>
            <w:vAlign w:val="bottom"/>
            <w:shd w:val="clear" w:color="auto" w:fill="000000"/>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Certificate of Amendment to the Restated and Amended Articles of Incorporation, as amended, of Vistagen Therapeutics, Inc., dated</w:t>
            </w: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9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September 6, 2019; incorporated by reference from Exhibit 3.1 to the Company’s Current Report on Form 8-K, filed on September 6,</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7"/>
        </w:trPr>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60" w:type="dxa"/>
            <w:vAlign w:val="bottom"/>
            <w:gridSpan w:val="5"/>
          </w:tcPr>
          <w:p>
            <w:pPr>
              <w:jc w:val="cente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15</w:t>
              </w:r>
            </w:hyperlink>
          </w:p>
        </w:tc>
        <w:tc>
          <w:tcPr>
            <w:tcW w:w="20" w:type="dxa"/>
            <w:vAlign w:val="bottom"/>
            <w:shd w:val="clear" w:color="auto" w:fill="000000"/>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Certificate of Amendment to the Restated and Amended Articles of Incorporation, as amended, of Vistagen Therapeutics, Inc., dated</w:t>
            </w:r>
          </w:p>
        </w:tc>
        <w:tc>
          <w:tcPr>
            <w:tcW w:w="0" w:type="dxa"/>
            <w:vAlign w:val="bottom"/>
          </w:tcPr>
          <w:p>
            <w:pPr>
              <w:spacing w:after="0"/>
              <w:rPr>
                <w:sz w:val="1"/>
                <w:szCs w:val="1"/>
                <w:color w:val="auto"/>
              </w:rPr>
            </w:pPr>
          </w:p>
        </w:tc>
      </w:tr>
      <w:tr>
        <w:trPr>
          <w:trHeight w:val="230"/>
        </w:trPr>
        <w:tc>
          <w:tcPr>
            <w:tcW w:w="520" w:type="dxa"/>
            <w:vAlign w:val="bottom"/>
            <w:tcBorders>
              <w:bottom w:val="single" w:sz="8" w:color="auto"/>
            </w:tcBorders>
          </w:tcPr>
          <w:p>
            <w:pPr>
              <w:spacing w:after="0"/>
              <w:rPr>
                <w:sz w:val="20"/>
                <w:szCs w:val="20"/>
                <w:color w:val="auto"/>
              </w:rPr>
            </w:pPr>
          </w:p>
        </w:tc>
        <w:tc>
          <w:tcPr>
            <w:tcW w:w="60" w:type="dxa"/>
            <w:vAlign w:val="bottom"/>
            <w:tcBorders>
              <w:top w:val="single" w:sz="8" w:color="0000FF"/>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40" w:type="dxa"/>
            <w:vAlign w:val="bottom"/>
            <w:tcBorders>
              <w:top w:val="single" w:sz="8" w:color="0000FF"/>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5, 2021, incorporated by reference from Exhibit 3.1 to the Company’s Current Report on Form 8-K, filed on March 5, 2021.</w:t>
            </w:r>
          </w:p>
        </w:tc>
        <w:tc>
          <w:tcPr>
            <w:tcW w:w="0" w:type="dxa"/>
            <w:vAlign w:val="bottom"/>
          </w:tcPr>
          <w:p>
            <w:pPr>
              <w:spacing w:after="0"/>
              <w:rPr>
                <w:sz w:val="1"/>
                <w:szCs w:val="1"/>
                <w:color w:val="auto"/>
              </w:rPr>
            </w:pPr>
          </w:p>
        </w:tc>
      </w:tr>
      <w:tr>
        <w:trPr>
          <w:trHeight w:val="202"/>
        </w:trPr>
        <w:tc>
          <w:tcPr>
            <w:tcW w:w="1360" w:type="dxa"/>
            <w:vAlign w:val="bottom"/>
            <w:gridSpan w:val="5"/>
          </w:tcPr>
          <w:p>
            <w:pPr>
              <w:jc w:val="center"/>
              <w:spacing w:after="0" w:line="202"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16</w:t>
              </w:r>
            </w:hyperlink>
          </w:p>
        </w:tc>
        <w:tc>
          <w:tcPr>
            <w:tcW w:w="20" w:type="dxa"/>
            <w:vAlign w:val="bottom"/>
            <w:shd w:val="clear" w:color="auto" w:fill="000000"/>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No. 2 to the Second Amended and Restated Bylaws of Vistagen Therapeutics, Inc., incorporated by reference from Exhibit</w:t>
            </w:r>
          </w:p>
        </w:tc>
        <w:tc>
          <w:tcPr>
            <w:tcW w:w="0" w:type="dxa"/>
            <w:vAlign w:val="bottom"/>
          </w:tcPr>
          <w:p>
            <w:pPr>
              <w:spacing w:after="0"/>
              <w:rPr>
                <w:sz w:val="1"/>
                <w:szCs w:val="1"/>
                <w:color w:val="auto"/>
              </w:rPr>
            </w:pPr>
          </w:p>
        </w:tc>
      </w:tr>
      <w:tr>
        <w:trPr>
          <w:trHeight w:val="230"/>
        </w:trPr>
        <w:tc>
          <w:tcPr>
            <w:tcW w:w="520" w:type="dxa"/>
            <w:vAlign w:val="bottom"/>
            <w:tcBorders>
              <w:bottom w:val="single" w:sz="8" w:color="auto"/>
            </w:tcBorders>
          </w:tcPr>
          <w:p>
            <w:pPr>
              <w:spacing w:after="0"/>
              <w:rPr>
                <w:sz w:val="20"/>
                <w:szCs w:val="20"/>
                <w:color w:val="auto"/>
              </w:rPr>
            </w:pPr>
          </w:p>
        </w:tc>
        <w:tc>
          <w:tcPr>
            <w:tcW w:w="60" w:type="dxa"/>
            <w:vAlign w:val="bottom"/>
            <w:tcBorders>
              <w:top w:val="single" w:sz="8" w:color="0000FF"/>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40" w:type="dxa"/>
            <w:vAlign w:val="bottom"/>
            <w:tcBorders>
              <w:top w:val="single" w:sz="8" w:color="0000FF"/>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3.1 to the Company’s Current Report on Form 8-K, filed on August 31, 2022.</w:t>
            </w:r>
          </w:p>
        </w:tc>
        <w:tc>
          <w:tcPr>
            <w:tcW w:w="0" w:type="dxa"/>
            <w:vAlign w:val="bottom"/>
          </w:tcPr>
          <w:p>
            <w:pPr>
              <w:spacing w:after="0"/>
              <w:rPr>
                <w:sz w:val="1"/>
                <w:szCs w:val="1"/>
                <w:color w:val="auto"/>
              </w:rPr>
            </w:pPr>
          </w:p>
        </w:tc>
      </w:tr>
      <w:tr>
        <w:trPr>
          <w:trHeight w:val="904"/>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80" w:type="dxa"/>
            <w:vAlign w:val="bottom"/>
            <w:gridSpan w:val="2"/>
          </w:tcPr>
          <w:p>
            <w:pPr>
              <w:jc w:val="right"/>
              <w:ind w:right="539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2" w:name="page153"/>
    <w:bookmarkEnd w:id="152"/>
    <w:p>
      <w:pPr>
        <w:ind w:left="1020" w:hanging="863"/>
        <w:spacing w:after="0" w:line="266" w:lineRule="auto"/>
        <w:tabs>
          <w:tab w:leader="none" w:pos="10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61804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32320" cy="6180455"/>
                    </a:xfrm>
                    <a:prstGeom prst="rect">
                      <a:avLst/>
                    </a:prstGeom>
                    <a:noFill/>
                  </pic:spPr>
                </pic:pic>
              </a:graphicData>
            </a:graphic>
          </wp:anchor>
        </w:drawing>
      </w:r>
      <w:hyperlink r:id="rId211">
        <w:r>
          <w:rPr>
            <w:rFonts w:ascii="Times New Roman" w:cs="Times New Roman" w:eastAsia="Times New Roman" w:hAnsi="Times New Roman"/>
            <w:sz w:val="18"/>
            <w:szCs w:val="18"/>
            <w:u w:val="single" w:color="auto"/>
            <w:color w:val="0000FF"/>
          </w:rPr>
          <w:t>3.17</w:t>
        </w:r>
      </w:hyperlink>
      <w:r>
        <w:rPr>
          <w:rFonts w:ascii="Times New Roman" w:cs="Times New Roman" w:eastAsia="Times New Roman" w:hAnsi="Times New Roman"/>
          <w:sz w:val="18"/>
          <w:szCs w:val="18"/>
          <w:color w:val="0000FF"/>
        </w:rPr>
        <w:tab/>
        <w:t>Certificate of Amendment to the Restated and Amended Articles of Incorporation, as amended, of Vistagen Therapeutics, Inc., dated June 6, 2023, incorporated by reference from Exhibit 3.1 to the Current Report on Form 8-K, filed June 6, 2023.</w:t>
      </w:r>
    </w:p>
    <w:p>
      <w:pPr>
        <w:ind w:left="1020" w:hanging="863"/>
        <w:spacing w:after="0" w:line="266" w:lineRule="auto"/>
        <w:tabs>
          <w:tab w:leader="none" w:pos="1000" w:val="left"/>
        </w:tabs>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u w:val="single" w:color="auto"/>
            <w:color w:val="0000FF"/>
          </w:rPr>
          <w:t>4.10</w:t>
        </w:r>
      </w:hyperlink>
      <w:r>
        <w:rPr>
          <w:rFonts w:ascii="Times New Roman" w:cs="Times New Roman" w:eastAsia="Times New Roman" w:hAnsi="Times New Roman"/>
          <w:sz w:val="18"/>
          <w:szCs w:val="18"/>
          <w:color w:val="0000FF"/>
        </w:rPr>
        <w:tab/>
        <w:t>Form of Pre-Funded Warrant (October 2023 Public Offering), incorporated by reference from Exhibit 4.1 to the Company’s Current Report on Form 8-K filed on October 4, 2023.</w:t>
      </w:r>
    </w:p>
    <w:p>
      <w:pPr>
        <w:spacing w:after="0" w:line="14" w:lineRule="exact"/>
        <w:rPr>
          <w:sz w:val="20"/>
          <w:szCs w:val="20"/>
          <w:color w:val="auto"/>
        </w:rPr>
      </w:pPr>
    </w:p>
    <w:p>
      <w:pPr>
        <w:ind w:left="1020" w:hanging="863"/>
        <w:spacing w:after="0" w:line="266" w:lineRule="auto"/>
        <w:tabs>
          <w:tab w:leader="none" w:pos="1000" w:val="left"/>
        </w:tabs>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u w:val="single" w:color="auto"/>
            <w:color w:val="0000FF"/>
          </w:rPr>
          <w:t>4.20</w:t>
        </w:r>
      </w:hyperlink>
      <w:r>
        <w:rPr>
          <w:rFonts w:ascii="Times New Roman" w:cs="Times New Roman" w:eastAsia="Times New Roman" w:hAnsi="Times New Roman"/>
          <w:sz w:val="18"/>
          <w:szCs w:val="18"/>
          <w:color w:val="0000FF"/>
        </w:rPr>
        <w:tab/>
        <w:t>Form of T1 Warrant (October 2023 Public Offering), incorporated by reference from Exhibit 4.2 to the Company’s Current Report on Form 8-K filed on October 4, 2023.</w:t>
      </w:r>
    </w:p>
    <w:p>
      <w:pPr>
        <w:spacing w:after="0" w:line="14" w:lineRule="exact"/>
        <w:rPr>
          <w:sz w:val="20"/>
          <w:szCs w:val="20"/>
          <w:color w:val="auto"/>
        </w:rPr>
      </w:pPr>
    </w:p>
    <w:p>
      <w:pPr>
        <w:ind w:left="1020" w:hanging="863"/>
        <w:spacing w:after="0" w:line="266" w:lineRule="auto"/>
        <w:tabs>
          <w:tab w:leader="none" w:pos="1000" w:val="left"/>
        </w:tabs>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u w:val="single" w:color="auto"/>
            <w:color w:val="0000FF"/>
          </w:rPr>
          <w:t>4.30</w:t>
        </w:r>
      </w:hyperlink>
      <w:r>
        <w:rPr>
          <w:rFonts w:ascii="Times New Roman" w:cs="Times New Roman" w:eastAsia="Times New Roman" w:hAnsi="Times New Roman"/>
          <w:sz w:val="18"/>
          <w:szCs w:val="18"/>
          <w:color w:val="0000FF"/>
        </w:rPr>
        <w:tab/>
        <w:t>Form of T2 Warrant (October 2023 Public Offering), incorporated by reference from Exhibit 4.3 to the Company’s Current Report on Form 8-K filed on October 4, 2023.</w:t>
      </w:r>
    </w:p>
    <w:p>
      <w:pPr>
        <w:spacing w:after="0" w:line="14" w:lineRule="exact"/>
        <w:rPr>
          <w:sz w:val="20"/>
          <w:szCs w:val="20"/>
          <w:color w:val="auto"/>
        </w:rPr>
      </w:pPr>
    </w:p>
    <w:p>
      <w:pPr>
        <w:ind w:left="1020" w:hanging="863"/>
        <w:spacing w:after="0" w:line="266" w:lineRule="auto"/>
        <w:tabs>
          <w:tab w:leader="none" w:pos="1000" w:val="left"/>
        </w:tabs>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u w:val="single" w:color="auto"/>
            <w:color w:val="0000FF"/>
          </w:rPr>
          <w:t>4.31</w:t>
        </w:r>
      </w:hyperlink>
      <w:r>
        <w:rPr>
          <w:rFonts w:ascii="Times New Roman" w:cs="Times New Roman" w:eastAsia="Times New Roman" w:hAnsi="Times New Roman"/>
          <w:sz w:val="18"/>
          <w:szCs w:val="18"/>
          <w:color w:val="0000FF"/>
        </w:rPr>
        <w:tab/>
        <w:t>Description of Registrant's Securities, incorporated by reference from Exhibit 4.31 to the Company's Annual Report on Form 10-K filed on June 11, 2024.</w:t>
      </w:r>
    </w:p>
    <w:p>
      <w:pPr>
        <w:spacing w:after="0" w:line="27" w:lineRule="exact"/>
        <w:rPr>
          <w:sz w:val="20"/>
          <w:szCs w:val="20"/>
          <w:color w:val="auto"/>
        </w:rPr>
      </w:pPr>
    </w:p>
    <w:p>
      <w:pPr>
        <w:ind w:left="80"/>
        <w:spacing w:after="0"/>
        <w:tabs>
          <w:tab w:leader="none" w:pos="1000" w:val="left"/>
        </w:tabs>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u w:val="single" w:color="auto"/>
            <w:color w:val="0000FF"/>
          </w:rPr>
          <w:t>10.40*</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Employment Agreement, by and between, Vistagen and Shawn K. Singh, dated April 28, 2010, as amended May 9, 2011.</w:t>
      </w:r>
    </w:p>
    <w:p>
      <w:pPr>
        <w:spacing w:after="0" w:line="63" w:lineRule="exact"/>
        <w:rPr>
          <w:sz w:val="20"/>
          <w:szCs w:val="20"/>
          <w:color w:val="auto"/>
        </w:rPr>
      </w:pPr>
    </w:p>
    <w:p>
      <w:pPr>
        <w:ind w:left="1020" w:hanging="908"/>
        <w:spacing w:after="0" w:line="266" w:lineRule="auto"/>
        <w:tabs>
          <w:tab w:leader="none" w:pos="1000" w:val="left"/>
        </w:tabs>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u w:val="single" w:color="auto"/>
            <w:color w:val="0000FF"/>
          </w:rPr>
          <w:t>10.83</w:t>
        </w:r>
      </w:hyperlink>
      <w:r>
        <w:rPr>
          <w:rFonts w:ascii="Times New Roman" w:cs="Times New Roman" w:eastAsia="Times New Roman" w:hAnsi="Times New Roman"/>
          <w:sz w:val="18"/>
          <w:szCs w:val="18"/>
          <w:color w:val="0000FF"/>
        </w:rPr>
        <w:tab/>
        <w:t>Lease between Bayside Area Development, LLC and Vistagen Therapeutics, Inc. (California) dated April 24, 2013, incorporated by reference from Exhibit 10.83 to the Company’s Annual Report on Form 10-K filed July 18, 2013.</w:t>
      </w:r>
    </w:p>
    <w:p>
      <w:pPr>
        <w:spacing w:after="0" w:line="14" w:lineRule="exact"/>
        <w:rPr>
          <w:sz w:val="20"/>
          <w:szCs w:val="20"/>
          <w:color w:val="auto"/>
        </w:rPr>
      </w:pPr>
    </w:p>
    <w:p>
      <w:pPr>
        <w:ind w:left="120"/>
        <w:spacing w:after="0"/>
        <w:tabs>
          <w:tab w:leader="none" w:pos="1000" w:val="left"/>
        </w:tabs>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u w:val="single" w:color="auto"/>
            <w:color w:val="0000FF"/>
          </w:rPr>
          <w:t>10.84</w:t>
        </w:r>
      </w:hyperlink>
      <w:r>
        <w:rPr>
          <w:rFonts w:ascii="Times New Roman" w:cs="Times New Roman" w:eastAsia="Times New Roman" w:hAnsi="Times New Roman"/>
          <w:sz w:val="18"/>
          <w:szCs w:val="18"/>
          <w:color w:val="0000FF"/>
        </w:rPr>
        <w:tab/>
        <w:t>Indemnification Agreement effective May 20, 2013 between the Company and Jon S. Saxe, incorporated by reference from Exhibit</w:t>
      </w:r>
    </w:p>
    <w:p>
      <w:pPr>
        <w:spacing w:after="0" w:line="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10.84 to the Company’s Annual Report on Form 10-K filed on July 18, 2013.</w:t>
      </w:r>
    </w:p>
    <w:p>
      <w:pPr>
        <w:spacing w:after="0" w:line="43" w:lineRule="exact"/>
        <w:rPr>
          <w:sz w:val="20"/>
          <w:szCs w:val="20"/>
          <w:color w:val="auto"/>
        </w:rPr>
      </w:pPr>
    </w:p>
    <w:p>
      <w:pPr>
        <w:ind w:left="120"/>
        <w:spacing w:after="0"/>
        <w:tabs>
          <w:tab w:leader="none" w:pos="1000" w:val="left"/>
        </w:tabs>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u w:val="single" w:color="auto"/>
            <w:color w:val="0000FF"/>
          </w:rPr>
          <w:t>10.85</w:t>
        </w:r>
      </w:hyperlink>
      <w:r>
        <w:rPr>
          <w:rFonts w:ascii="Times New Roman" w:cs="Times New Roman" w:eastAsia="Times New Roman" w:hAnsi="Times New Roman"/>
          <w:sz w:val="18"/>
          <w:szCs w:val="18"/>
          <w:color w:val="0000FF"/>
        </w:rPr>
        <w:tab/>
        <w:t>Indemnification Agreement effective May 20, 2013 between the Company and Shawn K. Singh, incorporated by reference from Exhibit</w:t>
      </w:r>
    </w:p>
    <w:p>
      <w:pPr>
        <w:spacing w:after="0" w:line="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10.85 to the Company’s Annual Report on Form 10-K filed on July 18, 2013.</w:t>
      </w:r>
    </w:p>
    <w:p>
      <w:pPr>
        <w:spacing w:after="0" w:line="43" w:lineRule="exact"/>
        <w:rPr>
          <w:sz w:val="20"/>
          <w:szCs w:val="20"/>
          <w:color w:val="auto"/>
        </w:rPr>
      </w:pPr>
    </w:p>
    <w:p>
      <w:pPr>
        <w:ind w:left="80"/>
        <w:spacing w:after="0"/>
        <w:tabs>
          <w:tab w:leader="none" w:pos="1000" w:val="left"/>
        </w:tabs>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u w:val="single" w:color="auto"/>
            <w:color w:val="0000FF"/>
          </w:rPr>
          <w:t>10.112</w:t>
        </w:r>
      </w:hyperlink>
      <w:r>
        <w:rPr>
          <w:rFonts w:ascii="Times New Roman" w:cs="Times New Roman" w:eastAsia="Times New Roman" w:hAnsi="Times New Roman"/>
          <w:sz w:val="18"/>
          <w:szCs w:val="18"/>
          <w:color w:val="0000FF"/>
        </w:rPr>
        <w:tab/>
        <w:t>Indemnification Agreement effective April 8, 2016 between the Company and Jerry B. Gin, incorporated by reference from Exhibit</w:t>
      </w:r>
    </w:p>
    <w:p>
      <w:pPr>
        <w:spacing w:after="0" w:line="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10.112 to the Company’s Annual Report on Form 10-K filed on June 24, 2016.</w:t>
      </w:r>
    </w:p>
    <w:p>
      <w:pPr>
        <w:spacing w:after="0" w:line="43" w:lineRule="exact"/>
        <w:rPr>
          <w:sz w:val="20"/>
          <w:szCs w:val="20"/>
          <w:color w:val="auto"/>
        </w:rPr>
      </w:pPr>
    </w:p>
    <w:p>
      <w:pPr>
        <w:ind w:left="1020" w:hanging="949"/>
        <w:spacing w:after="0" w:line="266" w:lineRule="auto"/>
        <w:tabs>
          <w:tab w:leader="none" w:pos="1000" w:val="left"/>
        </w:tabs>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u w:val="single" w:color="auto"/>
            <w:color w:val="0000FF"/>
          </w:rPr>
          <w:t>10.116</w:t>
        </w:r>
      </w:hyperlink>
      <w:r>
        <w:rPr>
          <w:rFonts w:ascii="Times New Roman" w:cs="Times New Roman" w:eastAsia="Times New Roman" w:hAnsi="Times New Roman"/>
          <w:sz w:val="18"/>
          <w:szCs w:val="18"/>
          <w:color w:val="0000FF"/>
        </w:rPr>
        <w:tab/>
        <w:t>Second Amendment to Employment Agreement by and between Vistagen Therapeutics, Inc. and Shawn K. Singh, dated June 22, 2016, incorporated by reference from Exhibit 10.116 to the Company’s Annual Report on Form 10-K filed on June 24, 2016.</w:t>
      </w:r>
    </w:p>
    <w:p>
      <w:pPr>
        <w:spacing w:after="0" w:line="14" w:lineRule="exact"/>
        <w:rPr>
          <w:sz w:val="20"/>
          <w:szCs w:val="20"/>
          <w:color w:val="auto"/>
        </w:rPr>
      </w:pPr>
    </w:p>
    <w:p>
      <w:pPr>
        <w:ind w:left="1020" w:hanging="949"/>
        <w:spacing w:after="0" w:line="266" w:lineRule="auto"/>
        <w:tabs>
          <w:tab w:leader="none" w:pos="1000" w:val="left"/>
        </w:tabs>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u w:val="single" w:color="auto"/>
            <w:color w:val="0000FF"/>
          </w:rPr>
          <w:t>10.118</w:t>
        </w:r>
      </w:hyperlink>
      <w:r>
        <w:rPr>
          <w:rFonts w:ascii="Times New Roman" w:cs="Times New Roman" w:eastAsia="Times New Roman" w:hAnsi="Times New Roman"/>
          <w:sz w:val="18"/>
          <w:szCs w:val="18"/>
          <w:color w:val="0000FF"/>
        </w:rPr>
        <w:tab/>
        <w:t>Second Amendment to Lease between Bayside Area Development and the Company, effective November 10, 2016, incorporated by reference from Exhibit 10.1 to the Company’s Quarterly Report on Form 10-Q filed on November 15, 2016.</w:t>
      </w:r>
    </w:p>
    <w:p>
      <w:pPr>
        <w:spacing w:after="0" w:line="14" w:lineRule="exact"/>
        <w:rPr>
          <w:sz w:val="20"/>
          <w:szCs w:val="20"/>
          <w:color w:val="auto"/>
        </w:rPr>
      </w:pPr>
    </w:p>
    <w:p>
      <w:pPr>
        <w:ind w:left="1020" w:right="20" w:hanging="953"/>
        <w:spacing w:after="0" w:line="266" w:lineRule="auto"/>
        <w:tabs>
          <w:tab w:leader="none" w:pos="1000" w:val="left"/>
        </w:tabs>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u w:val="single" w:color="auto"/>
            <w:color w:val="0000FF"/>
          </w:rPr>
          <w:t>10.122</w:t>
        </w:r>
      </w:hyperlink>
      <w:r>
        <w:rPr>
          <w:rFonts w:ascii="Times New Roman" w:cs="Times New Roman" w:eastAsia="Times New Roman" w:hAnsi="Times New Roman"/>
          <w:sz w:val="18"/>
          <w:szCs w:val="18"/>
          <w:color w:val="0000FF"/>
        </w:rPr>
        <w:tab/>
        <w:t>Amended and Restated 2016 Stock Incentive Plan (formerly the Vistagen Therapeutics, Inc. 2008 Stock Incentive Plan), incorporated by reference from Exhibit 10.122 to the Company’s Annual Report on Form 10-K filed on June 29, 2017.</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u w:val="single" w:color="auto"/>
            <w:color w:val="0000FF"/>
          </w:rPr>
          <w:t>10.135</w:t>
        </w:r>
      </w:hyperlink>
      <w:r>
        <w:rPr>
          <w:rFonts w:ascii="Times New Roman" w:cs="Times New Roman" w:eastAsia="Times New Roman" w:hAnsi="Times New Roman"/>
          <w:sz w:val="18"/>
          <w:szCs w:val="18"/>
          <w:color w:val="0000FF"/>
        </w:rPr>
        <w:tab/>
        <w:t>Indemnification Agreement, dated January 10, 2019, by and between the Company and Ann Cunningham, incorporated by reference from Exhibit 10.1 to the Company’s Current Report on Form 8-K filed on January 15, 2019.</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u w:val="single" w:color="auto"/>
            <w:color w:val="0000FF"/>
          </w:rPr>
          <w:t>10.139</w:t>
        </w:r>
      </w:hyperlink>
      <w:r>
        <w:rPr>
          <w:rFonts w:ascii="Times New Roman" w:cs="Times New Roman" w:eastAsia="Times New Roman" w:hAnsi="Times New Roman"/>
          <w:sz w:val="18"/>
          <w:szCs w:val="18"/>
          <w:color w:val="0000FF"/>
        </w:rPr>
        <w:tab/>
        <w:t>Vistagen Therapeutics, Inc. 2019 Omnibus Equity Incentive Plan, incorporated by reference from Exhibit 99.1 to the Company’s Registration Statement on Form S-8 filed on October 1, 2019.</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u w:val="single" w:color="auto"/>
            <w:color w:val="0000FF"/>
          </w:rPr>
          <w:t>10.140</w:t>
        </w:r>
      </w:hyperlink>
      <w:r>
        <w:rPr>
          <w:rFonts w:ascii="Times New Roman" w:cs="Times New Roman" w:eastAsia="Times New Roman" w:hAnsi="Times New Roman"/>
          <w:sz w:val="18"/>
          <w:szCs w:val="18"/>
          <w:color w:val="0000FF"/>
        </w:rPr>
        <w:tab/>
        <w:t>Vistagen Therapeutics, Inc. 2019 Employee Stock Purchase Plan, incorporated by reference from Exhibit 99.2 to the Company’s Registration Statement on Form S-8 filed on October 1, 2019.</w:t>
      </w:r>
    </w:p>
    <w:p>
      <w:pPr>
        <w:spacing w:after="0" w:line="14" w:lineRule="exact"/>
        <w:rPr>
          <w:sz w:val="20"/>
          <w:szCs w:val="20"/>
          <w:color w:val="auto"/>
        </w:rPr>
      </w:pPr>
    </w:p>
    <w:p>
      <w:pPr>
        <w:ind w:left="1020" w:hanging="1020"/>
        <w:spacing w:after="0" w:line="266" w:lineRule="auto"/>
        <w:tabs>
          <w:tab w:leader="none" w:pos="1000" w:val="left"/>
        </w:tabs>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u w:val="single" w:color="auto"/>
            <w:color w:val="0000FF"/>
          </w:rPr>
          <w:t>10.148 #</w:t>
        </w:r>
      </w:hyperlink>
      <w:r>
        <w:rPr>
          <w:rFonts w:ascii="Times New Roman" w:cs="Times New Roman" w:eastAsia="Times New Roman" w:hAnsi="Times New Roman"/>
          <w:sz w:val="18"/>
          <w:szCs w:val="18"/>
          <w:color w:val="0000FF"/>
        </w:rPr>
        <w:tab/>
        <w:t>License and Collaboration Agreement between Vistagen Therapeutics, Inc. and EverInsight Therapeutics Inc. incorporated by reference from Exhibit 10.1 to the Company’s Current Report on Form 8-K, filed June 26, 2020.</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u w:val="single" w:color="auto"/>
            <w:color w:val="0000FF"/>
          </w:rPr>
          <w:t>10.151</w:t>
        </w:r>
      </w:hyperlink>
      <w:r>
        <w:rPr>
          <w:rFonts w:ascii="Times New Roman" w:cs="Times New Roman" w:eastAsia="Times New Roman" w:hAnsi="Times New Roman"/>
          <w:sz w:val="18"/>
          <w:szCs w:val="18"/>
          <w:color w:val="0000FF"/>
        </w:rPr>
        <w:tab/>
        <w:t>Indemnification Agreement, dated April 26, 2021, by and between the Company and Joanne Curley, Ph.D. incorporated by reference from Exhibit 10.1 to the Company’s Current Report on Form 8-K filed on April 27, 2021.</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u w:val="single" w:color="auto"/>
            <w:color w:val="0000FF"/>
          </w:rPr>
          <w:t>10.152</w:t>
        </w:r>
      </w:hyperlink>
      <w:r>
        <w:rPr>
          <w:rFonts w:ascii="Times New Roman" w:cs="Times New Roman" w:eastAsia="Times New Roman" w:hAnsi="Times New Roman"/>
          <w:sz w:val="18"/>
          <w:szCs w:val="18"/>
          <w:color w:val="0000FF"/>
        </w:rPr>
        <w:tab/>
        <w:t>Indemnification Agreement, dated July 6, 2021, by and between the Company and Mary L. Rotunno, J.D. incorporated by reference from Exhibit 10.1 to the Company’s Current Report on Form 8-K, filed on July 8, 2021.</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u w:val="single" w:color="auto"/>
            <w:color w:val="0000FF"/>
          </w:rPr>
          <w:t>10.153</w:t>
        </w:r>
      </w:hyperlink>
      <w:r>
        <w:rPr>
          <w:rFonts w:ascii="Times New Roman" w:cs="Times New Roman" w:eastAsia="Times New Roman" w:hAnsi="Times New Roman"/>
          <w:sz w:val="18"/>
          <w:szCs w:val="18"/>
          <w:color w:val="0000FF"/>
        </w:rPr>
        <w:tab/>
        <w:t>Indemnification Agreement, dated July 21, 2021, by and between the Company and Margaret M. FitzPatrick incorporated by reference from Exhibit 10.1 to the Company’s Current Report on Form 8-K filed on July 22, 2021.</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u w:val="single" w:color="auto"/>
            <w:color w:val="0000FF"/>
          </w:rPr>
          <w:t>10.154</w:t>
        </w:r>
      </w:hyperlink>
      <w:r>
        <w:rPr>
          <w:rFonts w:ascii="Times New Roman" w:cs="Times New Roman" w:eastAsia="Times New Roman" w:hAnsi="Times New Roman"/>
          <w:sz w:val="18"/>
          <w:szCs w:val="18"/>
          <w:color w:val="0000FF"/>
        </w:rPr>
        <w:tab/>
        <w:t>Third Amendment to Lease, by and between Bayside Area Development, LLC and Vistagen Therapeutics, Inc. dated October 14, 2021, incorporated by reference from Exhibit 10.1 to the Company’s Quarterly Report on Form 10-Q, filed on November 10,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80" w:top="1215" w:right="35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6"/>
        </w:trPr>
        <w:tc>
          <w:tcPr>
            <w:tcW w:w="1380" w:type="dxa"/>
            <w:vAlign w:val="bottom"/>
            <w:tcBorders>
              <w:top w:val="single" w:sz="8" w:color="auto"/>
              <w:right w:val="single" w:sz="8" w:color="auto"/>
            </w:tcBorders>
            <w:gridSpan w:val="5"/>
          </w:tcPr>
          <w:p>
            <w:pPr>
              <w:jc w:val="cente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155</w:t>
              </w:r>
            </w:hyperlink>
          </w:p>
        </w:tc>
        <w:tc>
          <w:tcPr>
            <w:tcW w:w="9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Indemnification Agreement, dated May 13, 2022, by and between Vistagen Therapeutics, Inc. and Reid G. Adler, J.D., incorporated by</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reference from Exhibit 10.1 to the Company’s Quarterly Report on Form 10-Q, filed on August 11, 2022.</w:t>
            </w:r>
          </w:p>
        </w:tc>
      </w:tr>
      <w:tr>
        <w:trPr>
          <w:trHeight w:val="203"/>
        </w:trPr>
        <w:tc>
          <w:tcPr>
            <w:tcW w:w="1380" w:type="dxa"/>
            <w:vAlign w:val="bottom"/>
            <w:tcBorders>
              <w:right w:val="single" w:sz="8" w:color="auto"/>
            </w:tcBorders>
            <w:gridSpan w:val="5"/>
          </w:tcPr>
          <w:p>
            <w:pPr>
              <w:jc w:val="center"/>
              <w:spacing w:after="0" w:line="202"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163</w:t>
              </w:r>
            </w:hyperlink>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9"/>
              </w:rPr>
              <w:t>Indemnification Agreement, dated August 10, 2023, by and between Vistagen Therapeutics, Inc. and Cynthia Anderson, incorporated by</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reference from Exhibit 10.163 to the Company's Annual Report on Form 10-K filed on June 11, 2024.</w:t>
            </w:r>
          </w:p>
        </w:tc>
      </w:tr>
      <w:tr>
        <w:trPr>
          <w:trHeight w:val="203"/>
        </w:trPr>
        <w:tc>
          <w:tcPr>
            <w:tcW w:w="1380" w:type="dxa"/>
            <w:vAlign w:val="bottom"/>
            <w:tcBorders>
              <w:right w:val="single" w:sz="8" w:color="auto"/>
            </w:tcBorders>
            <w:gridSpan w:val="5"/>
          </w:tcPr>
          <w:p>
            <w:pPr>
              <w:jc w:val="center"/>
              <w:spacing w:after="0" w:line="202"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164</w:t>
              </w:r>
            </w:hyperlink>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Exclusive Negotiation Agreement, by and between Vistagen Therapeutics, Inc. and Fuji Pharma Co., Ltd., dated September 1, 2023,</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incorporated by reference from Exhibit 10.1 to the Company’s Current Report on Form 8-K filed on September 8, 2023.</w:t>
            </w:r>
          </w:p>
        </w:tc>
      </w:tr>
      <w:tr>
        <w:trPr>
          <w:trHeight w:val="203"/>
        </w:trPr>
        <w:tc>
          <w:tcPr>
            <w:tcW w:w="1380" w:type="dxa"/>
            <w:vAlign w:val="bottom"/>
            <w:tcBorders>
              <w:right w:val="single" w:sz="8" w:color="auto"/>
            </w:tcBorders>
            <w:gridSpan w:val="5"/>
          </w:tcPr>
          <w:p>
            <w:pPr>
              <w:jc w:val="center"/>
              <w:spacing w:after="0" w:line="202"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166</w:t>
              </w:r>
            </w:hyperlink>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Indemnification Agreement, dated October 24, 2023, by and between Vistagen Therapeutics, Inc. and Joshua Prince, incorporated by</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reference from Exhibit 10.1 to the Company’s Current Report on Form 8-K filed on October 26, 2023.</w:t>
            </w:r>
          </w:p>
        </w:tc>
      </w:tr>
      <w:tr>
        <w:trPr>
          <w:trHeight w:val="203"/>
        </w:trPr>
        <w:tc>
          <w:tcPr>
            <w:tcW w:w="1380" w:type="dxa"/>
            <w:vAlign w:val="bottom"/>
            <w:tcBorders>
              <w:right w:val="single" w:sz="8" w:color="auto"/>
            </w:tcBorders>
            <w:gridSpan w:val="5"/>
          </w:tcPr>
          <w:p>
            <w:pPr>
              <w:jc w:val="center"/>
              <w:spacing w:after="0" w:line="202"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167</w:t>
              </w:r>
            </w:hyperlink>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Consulting Agreement, by and between Vistagen Therapeutics, Inc. and Jerry Gin, dated September 9, 2025, incorporated by reference</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from Exhibit 10.1 to the Company’s Quarterly Report on Form 10-Q filed on November 13, 2025.</w:t>
            </w:r>
          </w:p>
        </w:tc>
      </w:tr>
      <w:tr>
        <w:trPr>
          <w:trHeight w:val="203"/>
        </w:trPr>
        <w:tc>
          <w:tcPr>
            <w:tcW w:w="1380" w:type="dxa"/>
            <w:vAlign w:val="bottom"/>
            <w:tcBorders>
              <w:right w:val="single" w:sz="8" w:color="auto"/>
            </w:tcBorders>
            <w:gridSpan w:val="5"/>
          </w:tcPr>
          <w:p>
            <w:pPr>
              <w:jc w:val="center"/>
              <w:spacing w:after="0" w:line="202"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168</w:t>
              </w:r>
            </w:hyperlink>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Consulting Agreement by, and between Vistagen Therapeutics, Inc. and Cynthia Anderson, dated October 15, 2025, incorporated by</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reference from Exhibit 10.2 to the Company’s Quarterly Report on Form 10-Q filed on November 13, 2025.</w:t>
            </w:r>
          </w:p>
        </w:tc>
      </w:tr>
      <w:tr>
        <w:trPr>
          <w:trHeight w:val="203"/>
        </w:trPr>
        <w:tc>
          <w:tcPr>
            <w:tcW w:w="1380" w:type="dxa"/>
            <w:vAlign w:val="bottom"/>
            <w:tcBorders>
              <w:right w:val="single" w:sz="8" w:color="auto"/>
            </w:tcBorders>
            <w:gridSpan w:val="5"/>
          </w:tcPr>
          <w:p>
            <w:pPr>
              <w:jc w:val="center"/>
              <w:spacing w:after="0" w:line="202"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169</w:t>
              </w:r>
            </w:hyperlink>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Indemnification Agreement, by and between Vistagen Therapeutics, Inc. and Paul R. Edick, dated October 29, 2025, incorporated by</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reference from Exhibit 10.1 to the Company's Current Report on Form 8-K filed on October 29, 2025.</w:t>
            </w:r>
          </w:p>
        </w:tc>
      </w:tr>
      <w:tr>
        <w:trPr>
          <w:trHeight w:val="203"/>
        </w:trPr>
        <w:tc>
          <w:tcPr>
            <w:tcW w:w="1380" w:type="dxa"/>
            <w:vAlign w:val="bottom"/>
            <w:tcBorders>
              <w:right w:val="single" w:sz="8" w:color="auto"/>
            </w:tcBorders>
            <w:gridSpan w:val="5"/>
          </w:tcPr>
          <w:p>
            <w:pPr>
              <w:jc w:val="center"/>
              <w:spacing w:after="0" w:line="202"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170</w:t>
            </w: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Indemnification Agreement by and between Vistagen Therapeutics, Inc. and Nick B. Tressler, dated December 1, 2025, incorporated by</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reference from Exhibit 10.1 to the Company's Current Report on Form 8-K filed on December 3, 2025.</w:t>
            </w:r>
          </w:p>
        </w:tc>
      </w:tr>
      <w:tr>
        <w:trPr>
          <w:trHeight w:val="203"/>
        </w:trPr>
        <w:tc>
          <w:tcPr>
            <w:tcW w:w="1380" w:type="dxa"/>
            <w:vAlign w:val="bottom"/>
            <w:tcBorders>
              <w:right w:val="single" w:sz="8" w:color="auto"/>
            </w:tcBorders>
            <w:gridSpan w:val="5"/>
          </w:tcPr>
          <w:p>
            <w:pPr>
              <w:jc w:val="center"/>
              <w:spacing w:after="0" w:line="202"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171</w:t>
              </w:r>
            </w:hyperlink>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Indemnification Agreement by and between Vistagen Therapeutics, Inc. and Angel S. Angelov, M.D., MBA, dated May 18, 2026,</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incorporated by reference from Exhibit 10.1 to the Company's Current Report on Form 8-K filed on May 19, 2026.</w:t>
            </w:r>
          </w:p>
        </w:tc>
      </w:tr>
      <w:tr>
        <w:trPr>
          <w:trHeight w:val="203"/>
        </w:trPr>
        <w:tc>
          <w:tcPr>
            <w:tcW w:w="940" w:type="dxa"/>
            <w:vAlign w:val="bottom"/>
            <w:gridSpan w:val="4"/>
          </w:tcPr>
          <w:p>
            <w:pPr>
              <w:jc w:val="center"/>
              <w:ind w:left="330"/>
              <w:spacing w:after="0" w:line="202"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14.</w:t>
              </w:r>
              <w:r>
                <w:rPr>
                  <w:rFonts w:ascii="Times New Roman" w:cs="Times New Roman" w:eastAsia="Times New Roman" w:hAnsi="Times New Roman"/>
                  <w:sz w:val="18"/>
                  <w:szCs w:val="18"/>
                  <w:u w:val="single" w:color="auto"/>
                  <w:color w:val="0000FF"/>
                </w:rPr>
                <w:t>1</w:t>
              </w:r>
            </w:hyperlink>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Code of Business Conduct, incorporated by reference from Exhibit 14.1 to the Company’s Annual Report on Form 10-K filed on June</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17, 2025.</w:t>
            </w:r>
          </w:p>
        </w:tc>
      </w:tr>
      <w:tr>
        <w:trPr>
          <w:trHeight w:val="203"/>
        </w:trPr>
        <w:tc>
          <w:tcPr>
            <w:tcW w:w="940" w:type="dxa"/>
            <w:vAlign w:val="bottom"/>
            <w:gridSpan w:val="4"/>
          </w:tcPr>
          <w:p>
            <w:pPr>
              <w:jc w:val="center"/>
              <w:ind w:left="330"/>
              <w:spacing w:after="0" w:line="202"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hyperlink>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Insider Trading Compliance Policy, incorporated by reference from Exhibit 19.1 to the Company’s Annual Report on Form 10-K filed</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on June 17, 2025.</w:t>
            </w:r>
          </w:p>
        </w:tc>
      </w:tr>
      <w:tr>
        <w:trPr>
          <w:trHeight w:val="203"/>
        </w:trPr>
        <w:tc>
          <w:tcPr>
            <w:tcW w:w="940" w:type="dxa"/>
            <w:vAlign w:val="bottom"/>
            <w:gridSpan w:val="4"/>
          </w:tcPr>
          <w:p>
            <w:pPr>
              <w:jc w:val="center"/>
              <w:ind w:left="330"/>
              <w:spacing w:after="0" w:line="202" w:lineRule="exact"/>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List of Subsidiaries, filed herewith.</w:t>
            </w:r>
          </w:p>
        </w:tc>
      </w:tr>
      <w:tr>
        <w:trPr>
          <w:trHeight w:val="34"/>
        </w:trPr>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196"/>
        </w:trPr>
        <w:tc>
          <w:tcPr>
            <w:tcW w:w="9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Consent of KPMG LLP, Independent Registered Public Accounting Firm, filed herewith.</w:t>
            </w:r>
          </w:p>
        </w:tc>
      </w:tr>
      <w:tr>
        <w:trPr>
          <w:trHeight w:val="34"/>
        </w:trPr>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196"/>
        </w:trPr>
        <w:tc>
          <w:tcPr>
            <w:tcW w:w="9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Certification of the Company’s Chief Executive Officer pursuant to Section 302 of the Sarbanes-Oxley Act of 2002, filed herewith.</w:t>
            </w:r>
          </w:p>
        </w:tc>
      </w:tr>
      <w:tr>
        <w:trPr>
          <w:trHeight w:val="34"/>
        </w:trPr>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196"/>
        </w:trPr>
        <w:tc>
          <w:tcPr>
            <w:tcW w:w="9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Certification of the Company’s Chief Financial Officer pursuant to Section 302 of the Sarbanes-Oxley Act of 2002, filed herewith.</w:t>
            </w:r>
          </w:p>
        </w:tc>
      </w:tr>
      <w:tr>
        <w:trPr>
          <w:trHeight w:val="34"/>
        </w:trPr>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196"/>
        </w:trPr>
        <w:tc>
          <w:tcPr>
            <w:tcW w:w="9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Certification of the Company’s Chief Executive Officer and Chief Financial Officer pursuant to Section 906 of the Sarbanes-Oxley Act</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of 2002, filed herewith.</w:t>
            </w:r>
          </w:p>
        </w:tc>
      </w:tr>
      <w:tr>
        <w:trPr>
          <w:trHeight w:val="203"/>
        </w:trPr>
        <w:tc>
          <w:tcPr>
            <w:tcW w:w="940" w:type="dxa"/>
            <w:vAlign w:val="bottom"/>
            <w:gridSpan w:val="4"/>
          </w:tcPr>
          <w:p>
            <w:pPr>
              <w:jc w:val="center"/>
              <w:ind w:left="330"/>
              <w:spacing w:after="0" w:line="202"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Policy for Recovery of Erroneously Awarded Compensation, incorporated by reference from Exhibit 97.1 to the Company's Annual</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Report on Form 10-K filed on June 11, 2024.</w:t>
            </w:r>
          </w:p>
        </w:tc>
      </w:tr>
      <w:tr>
        <w:trPr>
          <w:trHeight w:val="211"/>
        </w:trPr>
        <w:tc>
          <w:tcPr>
            <w:tcW w:w="138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101.INS</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r>
      <w:tr>
        <w:trPr>
          <w:trHeight w:val="241"/>
        </w:trPr>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50"/>
        </w:trPr>
        <w:tc>
          <w:tcPr>
            <w:tcW w:w="1380" w:type="dxa"/>
            <w:vAlign w:val="bottom"/>
            <w:tcBorders>
              <w:bottom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Taxonomy Extension Schema, filed herewith</w:t>
            </w:r>
          </w:p>
        </w:tc>
      </w:tr>
      <w:tr>
        <w:trPr>
          <w:trHeight w:val="250"/>
        </w:trPr>
        <w:tc>
          <w:tcPr>
            <w:tcW w:w="138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filed herewith</w:t>
            </w:r>
          </w:p>
        </w:tc>
      </w:tr>
      <w:tr>
        <w:trPr>
          <w:trHeight w:val="250"/>
        </w:trPr>
        <w:tc>
          <w:tcPr>
            <w:tcW w:w="1380" w:type="dxa"/>
            <w:vAlign w:val="bottom"/>
            <w:tcBorders>
              <w:bottom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filed herewith</w:t>
            </w:r>
          </w:p>
        </w:tc>
      </w:tr>
      <w:tr>
        <w:trPr>
          <w:trHeight w:val="250"/>
        </w:trPr>
        <w:tc>
          <w:tcPr>
            <w:tcW w:w="138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filed herewith</w:t>
            </w:r>
          </w:p>
        </w:tc>
      </w:tr>
      <w:tr>
        <w:trPr>
          <w:trHeight w:val="250"/>
        </w:trPr>
        <w:tc>
          <w:tcPr>
            <w:tcW w:w="138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101.PRE</w:t>
            </w: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filed herewith</w:t>
            </w:r>
          </w:p>
        </w:tc>
      </w:tr>
      <w:tr>
        <w:trPr>
          <w:trHeight w:val="250"/>
        </w:trPr>
        <w:tc>
          <w:tcPr>
            <w:tcW w:w="8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left="5480" w:right="1820" w:hanging="5472"/>
        <w:spacing w:after="0" w:line="949" w:lineRule="auto"/>
        <w:tabs>
          <w:tab w:leader="none" w:pos="80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like-numbered exhibit filed with our Current Report on Form 8-K on May 16, 2011. 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54" w:name="page155"/>
    <w:bookmarkEnd w:id="154"/>
    <w:p>
      <w:pPr>
        <w:ind w:left="812" w:hanging="812"/>
        <w:spacing w:after="0" w:line="258" w:lineRule="auto"/>
        <w:tabs>
          <w:tab w:leader="none" w:pos="8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confidential portions of this exhibit (indicated by “[*****]”) have been omitted as the Company has determined (i) the omitted information is not material and (ii) the omitted information would likely cause harm to the Company if publicly disclosed.</w:t>
      </w:r>
    </w:p>
    <w:p>
      <w:pPr>
        <w:spacing w:after="0" w:line="200" w:lineRule="exact"/>
        <w:rPr>
          <w:sz w:val="20"/>
          <w:szCs w:val="20"/>
          <w:color w:val="auto"/>
        </w:rPr>
      </w:pPr>
    </w:p>
    <w:p>
      <w:pPr>
        <w:spacing w:after="0" w:line="36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931" w:right="399" w:bottom="1440" w:gutter="0" w:footer="0" w:header="0"/>
        </w:sectPr>
      </w:pPr>
    </w:p>
    <w:bookmarkStart w:id="155" w:name="page156"/>
    <w:bookmarkEnd w:id="155"/>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22" w:lineRule="exact"/>
        <w:rPr>
          <w:sz w:val="20"/>
          <w:szCs w:val="20"/>
          <w:color w:val="auto"/>
        </w:rPr>
      </w:pPr>
    </w:p>
    <w:p>
      <w:pPr>
        <w:ind w:left="20"/>
        <w:spacing w:after="0"/>
        <w:tabs>
          <w:tab w:leader="none" w:pos="4420" w:val="left"/>
          <w:tab w:leader="none" w:pos="4940" w:val="left"/>
          <w:tab w:leader="none" w:pos="530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i w:val="1"/>
          <w:iCs w:val="1"/>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27305</wp:posOffset>
            </wp:positionV>
            <wp:extent cx="24345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Shawn K. Singh, J.D.</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pacing w:after="0" w:line="200" w:lineRule="exact"/>
        <w:rPr>
          <w:sz w:val="20"/>
          <w:szCs w:val="20"/>
          <w:color w:val="auto"/>
        </w:rPr>
      </w:pPr>
    </w:p>
    <w:p>
      <w:pPr>
        <w:spacing w:after="0" w:line="385" w:lineRule="exact"/>
        <w:rPr>
          <w:sz w:val="20"/>
          <w:szCs w:val="20"/>
          <w:color w:val="auto"/>
        </w:rPr>
      </w:pPr>
    </w:p>
    <w:p>
      <w:pPr>
        <w:ind w:right="20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36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84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533"/>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Shawn K. Singh</w:t>
            </w:r>
          </w:p>
        </w:tc>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20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June 15, 2026</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Shawn K. Singh, J.D.</w:t>
            </w:r>
          </w:p>
        </w:tc>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00" w:type="dxa"/>
            <w:vAlign w:val="bottom"/>
          </w:tcPr>
          <w:p>
            <w:pPr>
              <w:spacing w:after="0"/>
              <w:rPr>
                <w:sz w:val="21"/>
                <w:szCs w:val="21"/>
                <w:color w:val="auto"/>
              </w:rPr>
            </w:pPr>
          </w:p>
        </w:tc>
      </w:tr>
      <w:tr>
        <w:trPr>
          <w:trHeight w:val="42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Nick B. Tressler</w:t>
            </w:r>
          </w:p>
        </w:tc>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0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June 15, 2026</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 B. Tressler, MBA</w:t>
            </w:r>
          </w:p>
        </w:tc>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000" w:type="dxa"/>
            <w:vAlign w:val="bottom"/>
          </w:tcPr>
          <w:p>
            <w:pPr>
              <w:spacing w:after="0"/>
              <w:rPr>
                <w:sz w:val="21"/>
                <w:szCs w:val="21"/>
                <w:color w:val="auto"/>
              </w:rPr>
            </w:pPr>
          </w:p>
        </w:tc>
      </w:tr>
      <w:tr>
        <w:trPr>
          <w:trHeight w:val="42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Jon S. Saxe</w:t>
            </w:r>
          </w:p>
        </w:tc>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0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June 15, 2026</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Jon S. Saxe, J.D., LL.M.</w:t>
            </w:r>
          </w:p>
        </w:tc>
        <w:tc>
          <w:tcPr>
            <w:tcW w:w="48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42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Ann M. Cunningham</w:t>
            </w:r>
          </w:p>
        </w:tc>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June 15, 2026</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Ann M. Cunningham</w:t>
            </w:r>
          </w:p>
        </w:tc>
        <w:tc>
          <w:tcPr>
            <w:tcW w:w="48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42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Joanne Curley</w:t>
            </w:r>
          </w:p>
        </w:tc>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June 15, 2026</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Joanne Curley, Ph.D.</w:t>
            </w:r>
          </w:p>
        </w:tc>
        <w:tc>
          <w:tcPr>
            <w:tcW w:w="48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42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Margaret M. FitzPatrick</w:t>
            </w:r>
          </w:p>
        </w:tc>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June 15, 2026</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Margaret M. FitzPatrick</w:t>
            </w:r>
          </w:p>
        </w:tc>
        <w:tc>
          <w:tcPr>
            <w:tcW w:w="48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931"/>
        </w:trPr>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8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150</w:t>
            </w:r>
          </w:p>
        </w:tc>
        <w:tc>
          <w:tcPr>
            <w:tcW w:w="2000" w:type="dxa"/>
            <w:vAlign w:val="bottom"/>
          </w:tcPr>
          <w:p>
            <w:pPr>
              <w:spacing w:after="0"/>
              <w:rPr>
                <w:sz w:val="24"/>
                <w:szCs w:val="24"/>
                <w:color w:val="auto"/>
              </w:rPr>
            </w:pPr>
          </w:p>
        </w:tc>
      </w:tr>
    </w:tbl>
    <w:p>
      <w:pPr>
        <w:sectPr>
          <w:pgSz w:w="11900" w:h="16838" w:orient="portrait"/>
          <w:cols w:equalWidth="0" w:num="1">
            <w:col w:w="10700"/>
          </w:cols>
          <w:pgMar w:left="320" w:top="1143" w:right="87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Vistastem, Inc., a California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Pherin Pharmaceuticals, Inc., a Delaware corporation</w:t>
      </w:r>
    </w:p>
    <w:p>
      <w:pPr>
        <w:sectPr>
          <w:pgSz w:w="11900" w:h="16838" w:orient="portrait"/>
          <w:cols w:equalWidth="0" w:num="1">
            <w:col w:w="11240"/>
          </w:cols>
          <w:pgMar w:left="320" w:top="1400" w:right="33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685800" cy="274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68580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333-277041 and 333-270232) on Form S-3 and registration statements (Nos. 333-280246, 333-259779, 333-234026, 333-223556, and 333-208354) on Form S-8 of our reports dated June 15, 2026, with respect to the consolidated financial statements of Vistagen Therapeutics, Inc.</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15, 2026</w:t>
      </w:r>
    </w:p>
    <w:p>
      <w:pPr>
        <w:sectPr>
          <w:pgSz w:w="11900" w:h="16838" w:orient="portrait"/>
          <w:cols w:equalWidth="0" w:num="1">
            <w:col w:w="11200"/>
          </w:cols>
          <w:pgMar w:left="320" w:top="1440" w:right="37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K. Singh, certify that;</w:t>
      </w:r>
    </w:p>
    <w:p>
      <w:pPr>
        <w:spacing w:after="0" w:line="225"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Vistagen Therapeutics, Inc., a Nevada corporation;</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1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1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0" w:hanging="512"/>
        <w:spacing w:after="0" w:line="266" w:lineRule="auto"/>
        <w:tabs>
          <w:tab w:leader="none" w:pos="51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80" w:hanging="542"/>
        <w:spacing w:after="0" w:line="266" w:lineRule="auto"/>
        <w:tabs>
          <w:tab w:leader="none" w:pos="867"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80" w:hanging="542"/>
        <w:spacing w:after="0" w:line="266" w:lineRule="auto"/>
        <w:tabs>
          <w:tab w:leader="none" w:pos="877"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80" w:hanging="542"/>
        <w:spacing w:after="0" w:line="282" w:lineRule="auto"/>
        <w:tabs>
          <w:tab w:leader="none" w:pos="867"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80" w:right="140" w:hanging="542"/>
        <w:spacing w:after="0" w:line="266" w:lineRule="auto"/>
        <w:tabs>
          <w:tab w:leader="none" w:pos="877"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hanging="494"/>
        <w:spacing w:after="0" w:line="282" w:lineRule="auto"/>
        <w:tabs>
          <w:tab w:leader="none" w:pos="81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20" w:hanging="494"/>
        <w:spacing w:after="0" w:line="282" w:lineRule="auto"/>
        <w:tabs>
          <w:tab w:leader="none" w:pos="81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June 15, 2026</w:t>
      </w:r>
      <w:r>
        <w:rPr>
          <w:sz w:val="20"/>
          <w:szCs w:val="20"/>
          <w:color w:val="auto"/>
        </w:rPr>
        <w:tab/>
      </w:r>
      <w:r>
        <w:rPr>
          <w:rFonts w:ascii="Times New Roman" w:cs="Times New Roman" w:eastAsia="Times New Roman" w:hAnsi="Times New Roman"/>
          <w:sz w:val="18"/>
          <w:szCs w:val="18"/>
          <w:u w:val="single" w:color="auto"/>
          <w:color w:val="auto"/>
        </w:rPr>
        <w:t>/s/ Shawn K. Singh</w:t>
      </w:r>
    </w:p>
    <w:p>
      <w:pPr>
        <w:spacing w:after="0" w:line="5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Shawn K. Singh, JD</w:t>
      </w:r>
    </w:p>
    <w:p>
      <w:pPr>
        <w:spacing w:after="0" w:line="5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Nick B. Tressler, certify that:</w:t>
      </w:r>
    </w:p>
    <w:p>
      <w:pPr>
        <w:spacing w:after="0" w:line="225"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Vistagen Therapeutics, Inc., a Nevada corporation;</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1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1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0" w:hanging="512"/>
        <w:spacing w:after="0" w:line="266" w:lineRule="auto"/>
        <w:tabs>
          <w:tab w:leader="none" w:pos="51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80" w:hanging="542"/>
        <w:spacing w:after="0" w:line="266" w:lineRule="auto"/>
        <w:tabs>
          <w:tab w:leader="none" w:pos="86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80" w:hanging="542"/>
        <w:spacing w:after="0" w:line="266" w:lineRule="auto"/>
        <w:tabs>
          <w:tab w:leader="none" w:pos="87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80" w:hanging="542"/>
        <w:spacing w:after="0" w:line="282" w:lineRule="auto"/>
        <w:tabs>
          <w:tab w:leader="none" w:pos="86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80" w:right="20" w:hanging="542"/>
        <w:spacing w:after="0" w:line="266" w:lineRule="auto"/>
        <w:tabs>
          <w:tab w:leader="none" w:pos="87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1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40" w:hanging="495"/>
        <w:spacing w:after="0" w:line="282" w:lineRule="auto"/>
        <w:tabs>
          <w:tab w:leader="none" w:pos="83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40" w:hanging="495"/>
        <w:spacing w:after="0" w:line="282" w:lineRule="auto"/>
        <w:tabs>
          <w:tab w:leader="none" w:pos="83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700" w:val="left"/>
        </w:tabs>
        <w:rPr>
          <w:sz w:val="20"/>
          <w:szCs w:val="20"/>
          <w:color w:val="auto"/>
        </w:rPr>
      </w:pPr>
      <w:r>
        <w:rPr>
          <w:rFonts w:ascii="Times New Roman" w:cs="Times New Roman" w:eastAsia="Times New Roman" w:hAnsi="Times New Roman"/>
          <w:sz w:val="18"/>
          <w:szCs w:val="18"/>
          <w:color w:val="auto"/>
        </w:rPr>
        <w:t>June 15, 2026</w:t>
      </w:r>
      <w:r>
        <w:rPr>
          <w:sz w:val="20"/>
          <w:szCs w:val="20"/>
          <w:color w:val="auto"/>
        </w:rPr>
        <w:tab/>
      </w:r>
      <w:r>
        <w:rPr>
          <w:rFonts w:ascii="Times New Roman" w:cs="Times New Roman" w:eastAsia="Times New Roman" w:hAnsi="Times New Roman"/>
          <w:sz w:val="17"/>
          <w:szCs w:val="17"/>
          <w:u w:val="single" w:color="auto"/>
          <w:color w:val="auto"/>
        </w:rPr>
        <w:t>/s/ Nick B. Tressler</w:t>
      </w:r>
    </w:p>
    <w:p>
      <w:pPr>
        <w:spacing w:after="0" w:line="5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Nick B. Tressler, MBA</w:t>
      </w:r>
    </w:p>
    <w:p>
      <w:pPr>
        <w:spacing w:after="0" w:line="5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 hereby certifies, to such officer’s knowledge, that:</w:t>
      </w:r>
    </w:p>
    <w:p>
      <w:pPr>
        <w:spacing w:after="0" w:line="160" w:lineRule="exact"/>
        <w:rPr>
          <w:sz w:val="20"/>
          <w:szCs w:val="20"/>
          <w:color w:val="auto"/>
        </w:rPr>
      </w:pPr>
    </w:p>
    <w:p>
      <w:pPr>
        <w:ind w:left="860" w:hanging="204"/>
        <w:spacing w:after="0" w:line="284" w:lineRule="auto"/>
        <w:tabs>
          <w:tab w:leader="none" w:pos="8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annual period ended March 31, 2026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0" w:lineRule="exact"/>
        <w:rPr>
          <w:rFonts w:ascii="Times New Roman" w:cs="Times New Roman" w:eastAsia="Times New Roman" w:hAnsi="Times New Roman"/>
          <w:sz w:val="18"/>
          <w:szCs w:val="18"/>
          <w:color w:val="auto"/>
        </w:rPr>
      </w:pPr>
    </w:p>
    <w:p>
      <w:pPr>
        <w:ind w:left="920" w:hanging="264"/>
        <w:spacing w:after="0" w:line="282" w:lineRule="auto"/>
        <w:tabs>
          <w:tab w:leader="none" w:pos="90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Shawn K. Singh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Nick B. Tressler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B. Tressler,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x"/>
      <w:numFmt w:val="bullet"/>
      <w:start w:val="1"/>
    </w:lvl>
  </w:abstractNum>
  <w:abstractNum w:abstractNumId="1">
    <w:nsid w:val="79A1DEAA"/>
    <w:multiLevelType w:val="hybridMultilevel"/>
    <w:lvl w:ilvl="0">
      <w:lvlJc w:val="left"/>
      <w:lvlText w:val="o"/>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lvl w:ilvl="1">
      <w:lvlJc w:val="left"/>
      <w:lvlText w:val="◦"/>
      <w:numFmt w:val="bullet"/>
      <w:start w:val="1"/>
    </w:lvl>
  </w:abstractNum>
  <w:abstractNum w:abstractNumId="54">
    <w:nsid w:val="A0382C5"/>
    <w:multiLevelType w:val="hybridMultilevel"/>
    <w:lvl w:ilvl="0">
      <w:lvlJc w:val="left"/>
      <w:lvlText w:val="•"/>
      <w:numFmt w:val="bullet"/>
      <w:start w:val="1"/>
    </w:lvl>
    <w:lvl w:ilvl="1">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1."/>
      <w:numFmt w:val="decimal"/>
      <w:start w:val="5"/>
    </w:lvl>
  </w:abstractNum>
  <w:abstractNum w:abstractNumId="61">
    <w:nsid w:val="6A5EE64"/>
    <w:multiLevelType w:val="hybridMultilevel"/>
    <w:lvl w:ilvl="0">
      <w:lvlJc w:val="left"/>
      <w:lvlText w:val="%1."/>
      <w:numFmt w:val="decimal"/>
      <w:start w:val="8"/>
    </w:lvl>
  </w:abstractNum>
  <w:abstractNum w:abstractNumId="62">
    <w:nsid w:val="14330624"/>
    <w:multiLevelType w:val="hybridMultilevel"/>
    <w:lvl w:ilvl="0">
      <w:lvlJc w:val="left"/>
      <w:lvlText w:val="(%1)"/>
      <w:numFmt w:val="lowerLetter"/>
      <w:start w:val="1"/>
    </w:lvl>
  </w:abstractNum>
  <w:abstractNum w:abstractNumId="63">
    <w:nsid w:val="7FFFCA11"/>
    <w:multiLevelType w:val="hybridMultilevel"/>
    <w:lvl w:ilvl="0">
      <w:lvlJc w:val="left"/>
      <w:lvlText w:val="%1."/>
      <w:numFmt w:val="decimal"/>
      <w:start w:val="9"/>
    </w:lvl>
  </w:abstractNum>
  <w:abstractNum w:abstractNumId="64">
    <w:nsid w:val="1A27709E"/>
    <w:multiLevelType w:val="hybridMultilevel"/>
    <w:lvl w:ilvl="0">
      <w:lvlJc w:val="left"/>
      <w:lvlText w:val="(%1)"/>
      <w:numFmt w:val="lowerRoman"/>
      <w:start w:val="2"/>
    </w:lvl>
  </w:abstractNum>
  <w:abstractNum w:abstractNumId="65">
    <w:nsid w:val="71EA1109"/>
    <w:multiLevelType w:val="hybridMultilevel"/>
    <w:lvl w:ilvl="0">
      <w:lvlJc w:val="left"/>
      <w:lvlText w:val="(%1)"/>
      <w:numFmt w:val="lowerLetter"/>
      <w:start w:val="5"/>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lvl w:ilvl="1">
      <w:lvlJc w:val="left"/>
      <w:lvlText w:val="●"/>
      <w:numFmt w:val="bullet"/>
      <w:start w:val="1"/>
    </w:lvl>
  </w:abstractNum>
  <w:abstractNum w:abstractNumId="71">
    <w:nsid w:val="885E1B"/>
    <w:multiLevelType w:val="hybridMultilevel"/>
    <w:lvl w:ilvl="0">
      <w:lvlJc w:val="left"/>
      <w:lvlText w:val="(%1)"/>
      <w:numFmt w:val="decimal"/>
      <w:start w:val="2"/>
    </w:lvl>
  </w:abstractNum>
  <w:abstractNum w:abstractNumId="72">
    <w:nsid w:val="76272110"/>
    <w:multiLevelType w:val="hybridMultilevel"/>
    <w:lvl w:ilvl="0">
      <w:lvlJc w:val="left"/>
      <w:lvlText w:val="(%1)"/>
      <w:numFmt w:val="decimal"/>
      <w:start w:val="6"/>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1)"/>
      <w:numFmt w:val="decimal"/>
      <w:start w:val="2"/>
    </w:lvl>
  </w:abstractNum>
  <w:abstractNum w:abstractNumId="89">
    <w:nsid w:val="49DA307D"/>
    <w:multiLevelType w:val="hybridMultilevel"/>
    <w:lvl w:ilvl="0">
      <w:lvlJc w:val="left"/>
      <w:lvlText w:val="(%1)"/>
      <w:numFmt w:val="decimal"/>
      <w:start w:val="1"/>
    </w:lvl>
  </w:abstractNum>
  <w:abstractNum w:abstractNumId="90">
    <w:nsid w:val="7055A5F5"/>
    <w:multiLevelType w:val="hybridMultilevel"/>
    <w:lvl w:ilvl="0">
      <w:lvlJc w:val="left"/>
      <w:lvlText w:val="(%1)"/>
      <w:numFmt w:val="decimal"/>
      <w:start w:val="4"/>
    </w:lvl>
  </w:abstractNum>
  <w:abstractNum w:abstractNumId="91">
    <w:nsid w:val="5FB8370B"/>
    <w:multiLevelType w:val="hybridMultilevel"/>
    <w:lvl w:ilvl="0">
      <w:lvlJc w:val="left"/>
      <w:lvlText w:val="(%1)"/>
      <w:numFmt w:val="decimal"/>
      <w:start w:val="10"/>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1)"/>
      <w:numFmt w:val="decimal"/>
      <w:start w:val="1"/>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31"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jpeg"/><Relationship Id="rId197" Type="http://schemas.openxmlformats.org/officeDocument/2006/relationships/hyperlink" Target="https://www.sec.gov/Archives/edgar/data/1411685/000165495421005701/vtgn8k_may2021.htm" TargetMode="External"/><Relationship Id="rId198" Type="http://schemas.openxmlformats.org/officeDocument/2006/relationships/hyperlink" Target="https://www.sec.gov/Archives/edgar/data/1411685/000143774923027662/ex_576126.htm" TargetMode="External"/><Relationship Id="rId199" Type="http://schemas.openxmlformats.org/officeDocument/2006/relationships/hyperlink" Target="https://www.sec.gov/Archives/edgar/data/1411685/000141588911000362/ex2-1.htm" TargetMode="External"/><Relationship Id="rId200" Type="http://schemas.openxmlformats.org/officeDocument/2006/relationships/hyperlink" Target="https://www.sec.gov/Archives/edgar/data/1411685/000185173422000740/ex_458079.htm" TargetMode="External"/><Relationship Id="rId201" Type="http://schemas.openxmlformats.org/officeDocument/2006/relationships/hyperlink" Target="https://www.sec.gov/Archives/edgar/data/1411685/000141588911000445/exhibit3-1.htm" TargetMode="External"/><Relationship Id="rId202" Type="http://schemas.openxmlformats.org/officeDocument/2006/relationships/hyperlink" Target="https://www.sec.gov/Archives/edgar/data/1411685/000141588916006879/ex3-1.htm" TargetMode="External"/><Relationship Id="rId203" Type="http://schemas.openxmlformats.org/officeDocument/2006/relationships/hyperlink" Target="https://www.sec.gov/Archives/edgar/data/1411685/000141588916006879/ex3-2.htm" TargetMode="External"/><Relationship Id="rId204" Type="http://schemas.openxmlformats.org/officeDocument/2006/relationships/hyperlink" Target="https://www.sec.gov/Archives/edgar/data/1411685/000165495417008632/ex3-1.htm" TargetMode="External"/><Relationship Id="rId205" Type="http://schemas.openxmlformats.org/officeDocument/2006/relationships/hyperlink" Target="https://www.sec.gov/Archives/edgar/data/1411685/000165495419010432/ex3-1.htm" TargetMode="External"/><Relationship Id="rId206" Type="http://schemas.openxmlformats.org/officeDocument/2006/relationships/hyperlink" Target="https://www.sec.gov/Archives/edgar/data/1411685/000165495421002420/ex3-1.htm" TargetMode="External"/><Relationship Id="rId207" Type="http://schemas.openxmlformats.org/officeDocument/2006/relationships/hyperlink" Target="https://www.sec.gov/Archives/edgar/data/1411685/000185173422000516/ex_418416.htm" TargetMode="External"/><Relationship Id="rId211" Type="http://schemas.openxmlformats.org/officeDocument/2006/relationships/hyperlink" Target="https://www.sec.gov/Archives/edgar/data/1411685/000143774923016689/ex_530160.htm" TargetMode="External"/><Relationship Id="rId212" Type="http://schemas.openxmlformats.org/officeDocument/2006/relationships/hyperlink" Target="https://www.sec.gov/Archives/edgar/data/1411685/000143774923027662/vtgn20231003_8k.htm" TargetMode="External"/><Relationship Id="rId213" Type="http://schemas.openxmlformats.org/officeDocument/2006/relationships/hyperlink" Target="https://www.sec.gov/Archives/edgar/data/1411685/000143774923027662/ex_576135.htm" TargetMode="External"/><Relationship Id="rId214" Type="http://schemas.openxmlformats.org/officeDocument/2006/relationships/hyperlink" Target="https://www.sec.gov/Archives/edgar/data/1411685/000143774923027662/ex_576136.htm" TargetMode="External"/><Relationship Id="rId215" Type="http://schemas.openxmlformats.org/officeDocument/2006/relationships/hyperlink" Target="https://www.sec.gov/Archives/edgar/data/1411685/000141168524000022/vtgn-exx431.htm" TargetMode="External"/><Relationship Id="rId216" Type="http://schemas.openxmlformats.org/officeDocument/2006/relationships/hyperlink" Target="https://www.sec.gov/Archives/edgar/data/1411685/000141588911000362/ex10-40.htm" TargetMode="External"/><Relationship Id="rId217" Type="http://schemas.openxmlformats.org/officeDocument/2006/relationships/hyperlink" Target="https://www.sec.gov/Archives/edgar/data/1411685/000141588913001409/leasebaysidevistagen.htm" TargetMode="External"/><Relationship Id="rId218" Type="http://schemas.openxmlformats.org/officeDocument/2006/relationships/hyperlink" Target="https://www.sec.gov/Archives/edgar/data/1411685/000141588913001409/saxeindemnification.htm" TargetMode="External"/><Relationship Id="rId219" Type="http://schemas.openxmlformats.org/officeDocument/2006/relationships/hyperlink" Target="https://www.sec.gov/Archives/edgar/data/1411685/000141588913001409/singhindemnification.htm" TargetMode="External"/><Relationship Id="rId220" Type="http://schemas.openxmlformats.org/officeDocument/2006/relationships/hyperlink" Target="https://www.sec.gov/Archives/edgar/data/1411685/000141588916006331/ex10-112.htm" TargetMode="External"/><Relationship Id="rId221" Type="http://schemas.openxmlformats.org/officeDocument/2006/relationships/hyperlink" Target="https://www.sec.gov/Archives/edgar/data/1411685/000141588916006331/ex10-116.htm" TargetMode="External"/><Relationship Id="rId222" Type="http://schemas.openxmlformats.org/officeDocument/2006/relationships/hyperlink" Target="https://www.sec.gov/Archives/edgar/data/1411685/000141588916007413/ex10-1.htm" TargetMode="External"/><Relationship Id="rId223" Type="http://schemas.openxmlformats.org/officeDocument/2006/relationships/hyperlink" Target="https://www.sec.gov/Archives/edgar/data/1411685/000165495417005976/ex10-122.htm" TargetMode="External"/><Relationship Id="rId224" Type="http://schemas.openxmlformats.org/officeDocument/2006/relationships/hyperlink" Target="https://www.sec.gov/Archives/edgar/data/1411685/000165495419000496/ex10-1.htm" TargetMode="External"/><Relationship Id="rId225" Type="http://schemas.openxmlformats.org/officeDocument/2006/relationships/hyperlink" Target="https://www.sec.gov/Archives/edgar/data/1411685/000165495419008434/def14a_july262019.htm" TargetMode="External"/><Relationship Id="rId226" Type="http://schemas.openxmlformats.org/officeDocument/2006/relationships/hyperlink" Target="https://www.sec.gov/Archives/edgar/data/1411685/000165495420007024/ex10-1.htm" TargetMode="External"/><Relationship Id="rId227" Type="http://schemas.openxmlformats.org/officeDocument/2006/relationships/hyperlink" Target="https://www.sec.gov/Archives/edgar/data/1411685/000165495421004680/ex10-1.htm" TargetMode="External"/><Relationship Id="rId228" Type="http://schemas.openxmlformats.org/officeDocument/2006/relationships/hyperlink" Target="https://www.sec.gov/Archives/edgar/data/1411685/000165495421007757/ex10-1.htm" TargetMode="External"/><Relationship Id="rId229" Type="http://schemas.openxmlformats.org/officeDocument/2006/relationships/hyperlink" Target="https://www.sec.gov/Archives/edgar/data/1411685/000165495421008125/ex10-1.htm" TargetMode="External"/><Relationship Id="rId230" Type="http://schemas.openxmlformats.org/officeDocument/2006/relationships/hyperlink" Target="https://www.sec.gov/Archives/edgar/data/1411685/000143774921026161/ex_296584.htm" TargetMode="External"/><Relationship Id="rId232" Type="http://schemas.openxmlformats.org/officeDocument/2006/relationships/hyperlink" Target="https://www.sec.gov/Archives/edgar/data/1411685/000185173422000432/ex_406949.htm" TargetMode="External"/><Relationship Id="rId233" Type="http://schemas.openxmlformats.org/officeDocument/2006/relationships/hyperlink" Target="https://www.sec.gov/Archives/edgar/data/1411685/000141168524000022/vtgn-20230810xexx10163.htm" TargetMode="External"/><Relationship Id="rId234" Type="http://schemas.openxmlformats.org/officeDocument/2006/relationships/hyperlink" Target="https://www.sec.gov/Archives/edgar/data/1411685/000143774923025509/ex_567993.htm" TargetMode="External"/><Relationship Id="rId235" Type="http://schemas.openxmlformats.org/officeDocument/2006/relationships/hyperlink" Target="https://www.sec.gov/Archives/edgar/data/1411685/000143774923029096/ex_586441.htm" TargetMode="External"/><Relationship Id="rId236" Type="http://schemas.openxmlformats.org/officeDocument/2006/relationships/hyperlink" Target="https://www.sec.gov/Archives/edgar/data/1411685/000162828025052079/ex101jerrygin-consultingag.htm" TargetMode="External"/><Relationship Id="rId237" Type="http://schemas.openxmlformats.org/officeDocument/2006/relationships/hyperlink" Target="https://www.sec.gov/Archives/edgar/data/1411685/000162828025052079/ex102cindyanderson-consult.htm" TargetMode="External"/><Relationship Id="rId238" Type="http://schemas.openxmlformats.org/officeDocument/2006/relationships/hyperlink" Target="https://www.sec.gov/Archives/edgar/data/1411685/000162828025047188/ex101.htm" TargetMode="External"/><Relationship Id="rId239" Type="http://schemas.openxmlformats.org/officeDocument/2006/relationships/hyperlink" Target="https://www.sec.gov/Archives/edgar/data/1411685/000162828025055083/vtgn8-k11282025ex101.htm" TargetMode="External"/><Relationship Id="rId240" Type="http://schemas.openxmlformats.org/officeDocument/2006/relationships/hyperlink" Target="https://www.sec.gov/Archives/edgar/data/1411685/000162828026036492/vtgn8-kex10105182026.htm" TargetMode="External"/><Relationship Id="rId241" Type="http://schemas.openxmlformats.org/officeDocument/2006/relationships/hyperlink" Target="https://www.sec.gov/Archives/edgar/data/1411685/000141168525000041/ex141vtgncodeofbusinessc.htm" TargetMode="External"/><Relationship Id="rId242" Type="http://schemas.openxmlformats.org/officeDocument/2006/relationships/hyperlink" Target="https://www.sec.gov/Archives/edgar/data/1411685/000141168525000041/ex191vtgninsidertradingp.htm" TargetMode="External"/><Relationship Id="rId243" Type="http://schemas.openxmlformats.org/officeDocument/2006/relationships/hyperlink" Target="https://www.sec.gov/Archives/edgar/data/1411685/000141168524000022/vtgn-20231002x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2026-06-15T16:10:28Z</dcterms:created>
  <dcterms:modified xsi:type="dcterms:W3CDTF">2026-06-15T16:10:28Z</dcterms:modified>
</cp:coreProperties>
</file>