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242570</wp:posOffset>
            </wp:positionH>
            <wp:positionV relativeFrom="page">
              <wp:posOffset>500380</wp:posOffset>
            </wp:positionV>
            <wp:extent cx="69608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571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517525</wp:posOffset>
            </wp:positionV>
            <wp:extent cx="69608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5715"/>
                    </a:xfrm>
                    <a:prstGeom prst="rect">
                      <a:avLst/>
                    </a:prstGeom>
                    <a:noFill/>
                  </pic:spPr>
                </pic:pic>
              </a:graphicData>
            </a:graphic>
          </wp:anchor>
        </w:drawing>
        <w:t>UNITED STATES</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January 9, 2026</w:t>
      </w:r>
    </w:p>
    <w:p>
      <w:pPr>
        <w:spacing w:after="0" w:line="1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(Exact name of registrant as specified in its charter)</w:t>
      </w:r>
    </w:p>
    <w:p>
      <w:pPr>
        <w:sectPr>
          <w:pgSz w:w="11900" w:h="16838" w:orient="portrait"/>
          <w:cols w:equalWidth="0" w:num="1">
            <w:col w:w="11300"/>
          </w:cols>
          <w:pgMar w:left="300" w:top="1097" w:right="299" w:bottom="1440" w:gutter="0" w:footer="0" w:header="0"/>
        </w:sectPr>
      </w:pPr>
    </w:p>
    <w:p>
      <w:pPr>
        <w:spacing w:after="0" w:line="152"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2"/>
          <w:szCs w:val="12"/>
          <w:b w:val="1"/>
          <w:bCs w:val="1"/>
          <w:color w:val="auto"/>
        </w:rPr>
        <w:t>Nevada</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1"/>
          <w:szCs w:val="11"/>
          <w:b w:val="1"/>
          <w:bCs w:val="1"/>
          <w:color w:val="auto"/>
        </w:rPr>
        <w:t>000-54014</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20-5093315</w:t>
      </w:r>
    </w:p>
    <w:p>
      <w:pPr>
        <w:spacing w:after="0" w:line="46" w:lineRule="exact"/>
        <w:rPr>
          <w:sz w:val="24"/>
          <w:szCs w:val="24"/>
          <w:color w:val="auto"/>
        </w:rPr>
      </w:pPr>
    </w:p>
    <w:p>
      <w:pPr>
        <w:sectPr>
          <w:pgSz w:w="11900" w:h="16838" w:orient="portrait"/>
          <w:cols w:equalWidth="0" w:num="3">
            <w:col w:w="4680" w:space="720"/>
            <w:col w:w="3000" w:space="720"/>
            <w:col w:w="2180"/>
          </w:cols>
          <w:pgMar w:left="300" w:top="1097" w:right="299" w:bottom="1440" w:gutter="0" w:footer="0" w:header="0"/>
          <w:type w:val="continuous"/>
        </w:sectPr>
      </w:pPr>
    </w:p>
    <w:p>
      <w:pPr>
        <w:jc w:val="center"/>
        <w:ind w:right="520"/>
        <w:spacing w:after="0"/>
        <w:rPr>
          <w:sz w:val="20"/>
          <w:szCs w:val="20"/>
          <w:color w:val="auto"/>
        </w:rPr>
      </w:pPr>
      <w:r>
        <w:rPr>
          <w:rFonts w:ascii="Times New Roman" w:cs="Times New Roman" w:eastAsia="Times New Roman" w:hAnsi="Times New Roman"/>
          <w:sz w:val="11"/>
          <w:szCs w:val="11"/>
          <w:i w:val="1"/>
          <w:iCs w:val="1"/>
          <w:color w:val="auto"/>
        </w:rPr>
        <w:t>(State or other jurisdiction of</w:t>
      </w:r>
    </w:p>
    <w:p>
      <w:pPr>
        <w:spacing w:after="0" w:line="2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2"/>
          <w:szCs w:val="12"/>
          <w:i w:val="1"/>
          <w:iCs w:val="1"/>
          <w:color w:val="auto"/>
        </w:rPr>
        <w:t>incorporation)</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Times New Roman" w:cs="Times New Roman" w:eastAsia="Times New Roman" w:hAnsi="Times New Roman"/>
          <w:sz w:val="11"/>
          <w:szCs w:val="11"/>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340"/>
        <w:spacing w:after="0"/>
        <w:rPr>
          <w:sz w:val="20"/>
          <w:szCs w:val="20"/>
          <w:color w:val="auto"/>
        </w:rPr>
      </w:pPr>
      <w:r>
        <w:rPr>
          <w:rFonts w:ascii="Times New Roman" w:cs="Times New Roman" w:eastAsia="Times New Roman" w:hAnsi="Times New Roman"/>
          <w:sz w:val="12"/>
          <w:szCs w:val="12"/>
          <w:i w:val="1"/>
          <w:iCs w:val="1"/>
          <w:color w:val="auto"/>
        </w:rPr>
        <w:t>(IRS Employer</w:t>
      </w:r>
    </w:p>
    <w:p>
      <w:pPr>
        <w:spacing w:after="0" w:line="1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1"/>
          <w:szCs w:val="11"/>
          <w:i w:val="1"/>
          <w:iCs w:val="1"/>
          <w:color w:val="auto"/>
        </w:rPr>
        <w:t>Identification Number)</w:t>
      </w:r>
    </w:p>
    <w:p>
      <w:pPr>
        <w:spacing w:after="0" w:line="199" w:lineRule="exact"/>
        <w:rPr>
          <w:sz w:val="24"/>
          <w:szCs w:val="24"/>
          <w:color w:val="auto"/>
        </w:rPr>
      </w:pPr>
    </w:p>
    <w:p>
      <w:pPr>
        <w:sectPr>
          <w:pgSz w:w="11900" w:h="16838" w:orient="portrait"/>
          <w:cols w:equalWidth="0" w:num="3">
            <w:col w:w="4280" w:space="720"/>
            <w:col w:w="3140" w:space="720"/>
            <w:col w:w="2440"/>
          </w:cols>
          <w:pgMar w:left="300" w:top="1097" w:right="299" w:bottom="1440" w:gutter="0" w:footer="0" w:header="0"/>
          <w:type w:val="continuous"/>
        </w:sectPr>
      </w:pPr>
    </w:p>
    <w:p>
      <w:pPr>
        <w:ind w:left="5200"/>
        <w:spacing w:after="0"/>
        <w:rPr>
          <w:sz w:val="20"/>
          <w:szCs w:val="20"/>
          <w:color w:val="auto"/>
        </w:rPr>
      </w:pPr>
      <w:r>
        <w:rPr>
          <w:rFonts w:ascii="Times New Roman" w:cs="Times New Roman" w:eastAsia="Times New Roman" w:hAnsi="Times New Roman"/>
          <w:sz w:val="12"/>
          <w:szCs w:val="12"/>
          <w:b w:val="1"/>
          <w:bCs w:val="1"/>
          <w:color w:val="auto"/>
        </w:rPr>
        <w:t>343 Allerton Ave.</w:t>
      </w:r>
    </w:p>
    <w:p>
      <w:pPr>
        <w:spacing w:after="0" w:line="2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South San Francisco, California 94080</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i w:val="1"/>
          <w:iCs w:val="1"/>
          <w:color w:val="auto"/>
        </w:rPr>
        <w:t>(Address of principal executive offices)</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i w:val="1"/>
          <w:iCs w:val="1"/>
          <w:color w:val="auto"/>
        </w:rPr>
        <w:t>(650</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577-3600</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(Registrant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 telephone number, including area code)</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i w:val="1"/>
          <w:iCs w:val="1"/>
          <w:color w:val="auto"/>
        </w:rPr>
        <w:t>(Former name or former address, if changed since last report)</w:t>
      </w:r>
    </w:p>
    <w:p>
      <w:pPr>
        <w:sectPr>
          <w:pgSz w:w="11900" w:h="16838" w:orient="portrait"/>
          <w:cols w:equalWidth="0" w:num="1">
            <w:col w:w="11300"/>
          </w:cols>
          <w:pgMar w:left="300" w:top="1097" w:right="299" w:bottom="1440" w:gutter="0" w:footer="0" w:header="0"/>
          <w:type w:val="continuous"/>
        </w:sectPr>
      </w:pP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Written communications pursuant to Rule 425 under the Securities Act (17 CFR 230.425)</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Soliciting material pursuant to Rule 14a-12 under the Exchange Act (17 CFR 240.14a -12)</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860" w:type="dxa"/>
            <w:vAlign w:val="bottom"/>
          </w:tcPr>
          <w:p>
            <w:pPr>
              <w:spacing w:after="0"/>
              <w:rPr>
                <w:sz w:val="13"/>
                <w:szCs w:val="13"/>
                <w:color w:val="auto"/>
              </w:rPr>
            </w:pPr>
          </w:p>
        </w:tc>
        <w:tc>
          <w:tcPr>
            <w:tcW w:w="4220" w:type="dxa"/>
            <w:vAlign w:val="bottom"/>
          </w:tcPr>
          <w:p>
            <w:pPr>
              <w:spacing w:after="0"/>
              <w:rPr>
                <w:sz w:val="13"/>
                <w:szCs w:val="13"/>
                <w:color w:val="auto"/>
              </w:rPr>
            </w:pPr>
          </w:p>
        </w:tc>
      </w:tr>
      <w:tr>
        <w:trPr>
          <w:trHeight w:val="310"/>
        </w:trPr>
        <w:tc>
          <w:tcPr>
            <w:tcW w:w="420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2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55"/>
        </w:trPr>
        <w:tc>
          <w:tcPr>
            <w:tcW w:w="420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8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VTGN</w:t>
            </w:r>
          </w:p>
        </w:tc>
        <w:tc>
          <w:tcPr>
            <w:tcW w:w="42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Nasdaq Capital Market</w:t>
            </w:r>
          </w:p>
        </w:tc>
      </w:tr>
    </w:tbl>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1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23"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710565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88900</wp:posOffset>
            </wp:positionV>
            <wp:extent cx="70637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106045</wp:posOffset>
            </wp:positionV>
            <wp:extent cx="70637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5715"/>
                    </a:xfrm>
                    <a:prstGeom prst="rect">
                      <a:avLst/>
                    </a:prstGeom>
                    <a:noFill/>
                  </pic:spPr>
                </pic:pic>
              </a:graphicData>
            </a:graphic>
          </wp:anchor>
        </w:drawing>
      </w:r>
    </w:p>
    <w:p>
      <w:pPr>
        <w:sectPr>
          <w:pgSz w:w="11900" w:h="16838" w:orient="portrait"/>
          <w:cols w:equalWidth="0" w:num="1">
            <w:col w:w="11300"/>
          </w:cols>
          <w:pgMar w:left="300" w:top="1097"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On January 9, 2026, Vistagen Therapeutics, Inc. (the “</w:t>
      </w:r>
      <w:r>
        <w:rPr>
          <w:rFonts w:ascii="Times New Roman" w:cs="Times New Roman" w:eastAsia="Times New Roman" w:hAnsi="Times New Roman"/>
          <w:sz w:val="12"/>
          <w:szCs w:val="12"/>
          <w:i w:val="1"/>
          <w:iCs w:val="1"/>
          <w:color w:val="auto"/>
        </w:rPr>
        <w:t>Company</w:t>
      </w:r>
      <w:r>
        <w:rPr>
          <w:rFonts w:ascii="Times New Roman" w:cs="Times New Roman" w:eastAsia="Times New Roman" w:hAnsi="Times New Roman"/>
          <w:sz w:val="12"/>
          <w:szCs w:val="12"/>
          <w:color w:val="auto"/>
        </w:rPr>
        <w:t>”) began utilizing a new corporate presentation, a copy of which is attached to this Current Report on Form 8-K as Exhibit 99.1.</w:t>
      </w:r>
    </w:p>
    <w:p>
      <w:pPr>
        <w:spacing w:after="0" w:line="161"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The information under this Item 7.01 and Exhibit 99.1 attached hereto are intended to be furnished and shall not be deemed “filed” for purposes of Section 18 of the Securities Exchange Act of 1934, as amended (the “</w:t>
      </w:r>
      <w:r>
        <w:rPr>
          <w:rFonts w:ascii="Times New Roman" w:cs="Times New Roman" w:eastAsia="Times New Roman" w:hAnsi="Times New Roman"/>
          <w:sz w:val="12"/>
          <w:szCs w:val="12"/>
          <w:i w:val="1"/>
          <w:iCs w:val="1"/>
          <w:color w:val="auto"/>
        </w:rPr>
        <w:t>Exchange Act</w:t>
      </w:r>
      <w:r>
        <w:rPr>
          <w:rFonts w:ascii="Times New Roman" w:cs="Times New Roman" w:eastAsia="Times New Roman" w:hAnsi="Times New Roman"/>
          <w:sz w:val="12"/>
          <w:szCs w:val="12"/>
          <w:color w:val="auto"/>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 Index</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700" w:type="dxa"/>
            <w:vAlign w:val="bottom"/>
          </w:tcPr>
          <w:p>
            <w:pPr>
              <w:ind w:left="132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300"/>
        </w:trPr>
        <w:tc>
          <w:tcPr>
            <w:tcW w:w="1060" w:type="dxa"/>
            <w:vAlign w:val="bottom"/>
            <w:tcBorders>
              <w:top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4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Vistagen Therapeutics, Inc. Corporate Presentation, dated January 2026</w:t>
            </w:r>
          </w:p>
        </w:tc>
        <w:tc>
          <w:tcPr>
            <w:tcW w:w="6700" w:type="dxa"/>
            <w:vAlign w:val="bottom"/>
            <w:tcBorders>
              <w:top w:val="single" w:sz="8" w:color="auto"/>
            </w:tcBorders>
          </w:tcPr>
          <w:p>
            <w:pPr>
              <w:spacing w:after="0"/>
              <w:rPr>
                <w:sz w:val="24"/>
                <w:szCs w:val="24"/>
                <w:color w:val="auto"/>
              </w:rPr>
            </w:pPr>
          </w:p>
        </w:tc>
      </w:tr>
      <w:tr>
        <w:trPr>
          <w:trHeight w:val="178"/>
        </w:trPr>
        <w:tc>
          <w:tcPr>
            <w:tcW w:w="10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75"/>
        </w:trPr>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2" w:name="page3"/>
    <w:bookmarkEnd w:id="2"/>
    <w:p>
      <w:pPr>
        <w:ind w:left="538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Vistagen Therapeutics, Inc.</w:t>
      </w:r>
    </w:p>
    <w:p>
      <w:pPr>
        <w:spacing w:after="0" w:line="139" w:lineRule="exact"/>
        <w:rPr>
          <w:sz w:val="20"/>
          <w:szCs w:val="20"/>
          <w:color w:val="auto"/>
        </w:rPr>
      </w:pPr>
    </w:p>
    <w:p>
      <w:pPr>
        <w:spacing w:after="0"/>
        <w:tabs>
          <w:tab w:leader="none" w:pos="5560" w:val="left"/>
          <w:tab w:leader="none" w:pos="6020" w:val="left"/>
        </w:tabs>
        <w:rPr>
          <w:sz w:val="20"/>
          <w:szCs w:val="20"/>
          <w:color w:val="auto"/>
        </w:rPr>
      </w:pPr>
      <w:r>
        <w:rPr>
          <w:rFonts w:ascii="Times New Roman" w:cs="Times New Roman" w:eastAsia="Times New Roman" w:hAnsi="Times New Roman"/>
          <w:sz w:val="12"/>
          <w:szCs w:val="12"/>
          <w:color w:val="auto"/>
        </w:rPr>
        <w:t>Date: January 9,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17780</wp:posOffset>
            </wp:positionV>
            <wp:extent cx="334327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5715"/>
                    </a:xfrm>
                    <a:prstGeom prst="rect">
                      <a:avLst/>
                    </a:prstGeom>
                    <a:noFill/>
                  </pic:spPr>
                </pic:pic>
              </a:graphicData>
            </a:graphic>
          </wp:anchor>
        </w:drawing>
      </w:r>
    </w:p>
    <w:p>
      <w:pPr>
        <w:spacing w:after="0" w:line="2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Shawn K. Singh</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ectPr>
          <w:pgSz w:w="11900" w:h="16838" w:orient="portrait"/>
          <w:cols w:equalWidth="0" w:num="1">
            <w:col w:w="10159"/>
          </w:cols>
          <w:pgMar w:left="300" w:top="782"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2026-01-09T18:46:10Z</dcterms:created>
  <dcterms:modified xsi:type="dcterms:W3CDTF">2026-01-09T18:46:10Z</dcterms:modified>
</cp:coreProperties>
</file>