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2"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350520</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Great Point Partners,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40" w:type="dxa"/>
            <w:vAlign w:val="bottom"/>
            <w:tcBorders>
              <w:right w:val="single" w:sz="8" w:color="auto"/>
            </w:tcBorders>
            <w:shd w:val="clear" w:color="auto" w:fill="000000"/>
          </w:tcPr>
          <w:p>
            <w:pPr>
              <w:spacing w:after="0"/>
              <w:rPr>
                <w:sz w:val="13"/>
                <w:szCs w:val="13"/>
                <w:color w:val="auto"/>
              </w:rPr>
            </w:pPr>
          </w:p>
        </w:tc>
        <w:tc>
          <w:tcPr>
            <w:tcW w:w="560" w:type="dxa"/>
            <w:vAlign w:val="bottom"/>
          </w:tcPr>
          <w:p>
            <w:pPr>
              <w:spacing w:after="0"/>
              <w:rPr>
                <w:sz w:val="13"/>
                <w:szCs w:val="13"/>
                <w:color w:val="auto"/>
              </w:rPr>
            </w:pPr>
          </w:p>
        </w:tc>
        <w:tc>
          <w:tcPr>
            <w:tcW w:w="1680" w:type="dxa"/>
            <w:vAlign w:val="bottom"/>
            <w:tcBorders>
              <w:right w:val="single" w:sz="8" w:color="auto"/>
            </w:tcBorders>
            <w:gridSpan w:val="2"/>
            <w:vMerge w:val="continue"/>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40" w:type="dxa"/>
            <w:vAlign w:val="bottom"/>
            <w:tcBorders>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tcPr>
          <w:p>
            <w:pPr>
              <w:spacing w:after="0"/>
              <w:rPr>
                <w:sz w:val="8"/>
                <w:szCs w:val="8"/>
                <w:color w:val="auto"/>
              </w:rPr>
            </w:pPr>
          </w:p>
        </w:tc>
        <w:tc>
          <w:tcPr>
            <w:tcW w:w="4740" w:type="dxa"/>
            <w:vAlign w:val="bottom"/>
            <w:gridSpan w:val="2"/>
            <w:vMerge w:val="continue"/>
          </w:tcPr>
          <w:p>
            <w:pPr>
              <w:spacing w:after="0"/>
              <w:rPr>
                <w:sz w:val="8"/>
                <w:szCs w:val="8"/>
                <w:color w:val="auto"/>
              </w:rPr>
            </w:pPr>
          </w:p>
        </w:tc>
        <w:tc>
          <w:tcPr>
            <w:tcW w:w="3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0" w:type="dxa"/>
            <w:vAlign w:val="bottom"/>
            <w:tcBorders>
              <w:right w:val="single" w:sz="8" w:color="auto"/>
            </w:tcBorders>
            <w:shd w:val="clear" w:color="auto" w:fill="000000"/>
          </w:tcPr>
          <w:p>
            <w:pPr>
              <w:spacing w:after="0"/>
              <w:rPr>
                <w:sz w:val="10"/>
                <w:szCs w:val="10"/>
                <w:color w:val="auto"/>
              </w:rPr>
            </w:pPr>
          </w:p>
        </w:tc>
        <w:tc>
          <w:tcPr>
            <w:tcW w:w="560" w:type="dxa"/>
            <w:vAlign w:val="bottom"/>
          </w:tcPr>
          <w:p>
            <w:pPr>
              <w:spacing w:after="0"/>
              <w:rPr>
                <w:sz w:val="10"/>
                <w:szCs w:val="10"/>
                <w:color w:val="auto"/>
              </w:rPr>
            </w:pPr>
          </w:p>
        </w:tc>
        <w:tc>
          <w:tcPr>
            <w:tcW w:w="1680" w:type="dxa"/>
            <w:vAlign w:val="bottom"/>
            <w:tcBorders>
              <w:right w:val="single" w:sz="8" w:color="auto"/>
            </w:tcBorders>
            <w:gridSpan w:val="2"/>
            <w:vMerge w:val="continue"/>
          </w:tcPr>
          <w:p>
            <w:pPr>
              <w:spacing w:after="0"/>
              <w:rPr>
                <w:sz w:val="10"/>
                <w:szCs w:val="10"/>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2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3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 w:type="dxa"/>
            <w:vAlign w:val="bottom"/>
            <w:tcBorders>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right w:val="single" w:sz="8" w:color="auto"/>
            </w:tcBorders>
          </w:tcPr>
          <w:p>
            <w:pPr>
              <w:spacing w:after="0"/>
              <w:rPr>
                <w:sz w:val="19"/>
                <w:szCs w:val="19"/>
                <w:color w:val="auto"/>
              </w:rPr>
            </w:pP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2,792,927</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790"/>
              <w:spacing w:after="0"/>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0" w:type="dxa"/>
            <w:vAlign w:val="bottom"/>
            <w:tcBorders>
              <w:right w:val="single" w:sz="8" w:color="auto"/>
            </w:tcBorders>
            <w:shd w:val="clear" w:color="auto" w:fill="000000"/>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40" w:type="dxa"/>
            <w:vAlign w:val="bottom"/>
            <w:tcBorders>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right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4520" w:type="dxa"/>
            <w:vAlign w:val="bottom"/>
          </w:tcPr>
          <w:p>
            <w:pPr>
              <w:spacing w:after="0"/>
              <w:rPr>
                <w:sz w:val="4"/>
                <w:szCs w:val="4"/>
                <w:color w:val="auto"/>
              </w:rPr>
            </w:pPr>
          </w:p>
        </w:tc>
        <w:tc>
          <w:tcPr>
            <w:tcW w:w="3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2,792,927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2,792,927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0"/>
        </w:trPr>
        <w:tc>
          <w:tcPr>
            <w:tcW w:w="40" w:type="dxa"/>
            <w:vAlign w:val="bottom"/>
            <w:tcBorders>
              <w:right w:val="single" w:sz="8" w:color="auto"/>
            </w:tcBorders>
            <w:shd w:val="clear" w:color="auto" w:fill="000000"/>
          </w:tcPr>
          <w:p>
            <w:pPr>
              <w:spacing w:after="0"/>
              <w:rPr>
                <w:sz w:val="24"/>
                <w:szCs w:val="24"/>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4"/>
                <w:szCs w:val="24"/>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860"/>
              <w:spacing w:after="0"/>
              <w:rPr>
                <w:sz w:val="20"/>
                <w:szCs w:val="20"/>
                <w:color w:val="auto"/>
              </w:rPr>
            </w:pPr>
            <w:r>
              <w:rPr>
                <w:rFonts w:ascii="Wingdings" w:cs="Wingdings" w:eastAsia="Wingdings" w:hAnsi="Wingdings"/>
                <w:sz w:val="18"/>
                <w:szCs w:val="18"/>
                <w:b w:val="1"/>
                <w:bCs w:val="1"/>
                <w:color w:val="auto"/>
              </w:rPr>
              <w:t>x</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shd w:val="clear" w:color="auto" w:fill="000000"/>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 w:type="dxa"/>
            <w:vAlign w:val="bottom"/>
            <w:tcBorders>
              <w:right w:val="single" w:sz="8" w:color="auto"/>
            </w:tcBorders>
            <w:shd w:val="clear" w:color="auto" w:fill="000000"/>
          </w:tcPr>
          <w:p>
            <w:pPr>
              <w:spacing w:after="0"/>
              <w:rPr>
                <w:sz w:val="24"/>
                <w:szCs w:val="24"/>
                <w:color w:val="auto"/>
              </w:rPr>
            </w:pPr>
          </w:p>
        </w:tc>
        <w:tc>
          <w:tcPr>
            <w:tcW w:w="560" w:type="dxa"/>
            <w:vAlign w:val="bottom"/>
            <w:vMerge w:val="continue"/>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9.99%</w:t>
            </w:r>
            <w:r>
              <w:rPr>
                <w:rFonts w:ascii="Times New Roman" w:cs="Times New Roman" w:eastAsia="Times New Roman" w:hAnsi="Times New Roman"/>
                <w:sz w:val="29"/>
                <w:szCs w:val="29"/>
                <w:color w:val="auto"/>
                <w:vertAlign w:val="superscript"/>
              </w:rPr>
              <w:t>2</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tcPr>
          <w:p>
            <w:pPr>
              <w:spacing w:after="0"/>
              <w:rPr>
                <w:sz w:val="21"/>
                <w:szCs w:val="21"/>
                <w:color w:val="auto"/>
              </w:rPr>
            </w:pPr>
          </w:p>
        </w:tc>
        <w:tc>
          <w:tcPr>
            <w:tcW w:w="3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firstLine="8"/>
        <w:spacing w:after="0" w:line="228" w:lineRule="auto"/>
        <w:tabs>
          <w:tab w:leader="none" w:pos="112"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addition to an aggregate of 1,858,735 shares of the Issuer's common stock (the "Common Stock") in the aggregate held outright, the reporting persons hold in the aggregate warrants to purchase 2,055,834 shares of Common Stock; however, the provisions of such warrants restrict the exercise of such warrants to the extent that, after giving effect to such exercise, the holder of the warrants and its affiliates, together with any other person or entities with which such holder would constitute a group, would beneficially own in excess of 9.99% of the number of shares of Common Stock outstanding immediately after giving effect to such exercise (the "Beneficial Ownership Cap"). As a result, an aggregate of 934,192 shares underlying such warrants are beneficially owned by the reporting persons.</w:t>
      </w:r>
    </w:p>
    <w:p>
      <w:pPr>
        <w:spacing w:after="0" w:line="242" w:lineRule="exact"/>
        <w:rPr>
          <w:sz w:val="20"/>
          <w:szCs w:val="20"/>
          <w:color w:val="auto"/>
        </w:rPr>
      </w:pPr>
    </w:p>
    <w:p>
      <w:pPr>
        <w:jc w:val="both"/>
        <w:ind w:firstLine="8"/>
        <w:spacing w:after="0" w:line="210" w:lineRule="auto"/>
        <w:tabs>
          <w:tab w:leader="none" w:pos="112"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a total of 27,957,230 shares outstanding, which is the sum of (i) 27,023,038 common shares outstanding as reported by the Issuer in its Form 10-Q filed with the Securities and Exchange Commission (the "SEC") on November 9, 2023 and (ii) 934,192 shares of the Common Stock issuable upon exercise of warrants held by the reporting persons (subject to the Beneficial Ownership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376555</wp:posOffset>
            </wp:positionV>
            <wp:extent cx="713613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Dr. Jeffrey R. Jay, M.D.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USA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2,792,927</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2,792,927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2,792,927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0"/>
        </w:trPr>
        <w:tc>
          <w:tcPr>
            <w:tcW w:w="40" w:type="dxa"/>
            <w:vAlign w:val="bottom"/>
            <w:tcBorders>
              <w:right w:val="single" w:sz="8" w:color="auto"/>
            </w:tcBorders>
            <w:shd w:val="clear" w:color="auto" w:fill="000000"/>
          </w:tcPr>
          <w:p>
            <w:pPr>
              <w:spacing w:after="0"/>
              <w:rPr>
                <w:sz w:val="24"/>
                <w:szCs w:val="24"/>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4"/>
                <w:szCs w:val="24"/>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860"/>
              <w:spacing w:after="0"/>
              <w:rPr>
                <w:sz w:val="20"/>
                <w:szCs w:val="20"/>
                <w:color w:val="auto"/>
              </w:rPr>
            </w:pPr>
            <w:r>
              <w:rPr>
                <w:rFonts w:ascii="Wingdings" w:cs="Wingdings" w:eastAsia="Wingdings" w:hAnsi="Wingdings"/>
                <w:sz w:val="18"/>
                <w:szCs w:val="18"/>
                <w:b w:val="1"/>
                <w:bCs w:val="1"/>
                <w:color w:val="auto"/>
              </w:rPr>
              <w:t>x</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shd w:val="clear" w:color="auto" w:fill="000000"/>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 w:type="dxa"/>
            <w:vAlign w:val="bottom"/>
            <w:tcBorders>
              <w:right w:val="single" w:sz="8" w:color="auto"/>
            </w:tcBorders>
            <w:shd w:val="clear" w:color="auto" w:fill="000000"/>
          </w:tcPr>
          <w:p>
            <w:pPr>
              <w:spacing w:after="0"/>
              <w:rPr>
                <w:sz w:val="24"/>
                <w:szCs w:val="24"/>
                <w:color w:val="auto"/>
              </w:rPr>
            </w:pPr>
          </w:p>
        </w:tc>
        <w:tc>
          <w:tcPr>
            <w:tcW w:w="560" w:type="dxa"/>
            <w:vAlign w:val="bottom"/>
            <w:vMerge w:val="continue"/>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9.99%</w:t>
            </w:r>
            <w:r>
              <w:rPr>
                <w:rFonts w:ascii="Times New Roman" w:cs="Times New Roman" w:eastAsia="Times New Roman" w:hAnsi="Times New Roman"/>
                <w:sz w:val="29"/>
                <w:szCs w:val="29"/>
                <w:color w:val="auto"/>
                <w:vertAlign w:val="superscript"/>
              </w:rPr>
              <w:t>2</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tcPr>
          <w:p>
            <w:pPr>
              <w:spacing w:after="0"/>
              <w:rPr>
                <w:sz w:val="21"/>
                <w:szCs w:val="21"/>
                <w:color w:val="auto"/>
              </w:rPr>
            </w:pPr>
          </w:p>
        </w:tc>
        <w:tc>
          <w:tcPr>
            <w:tcW w:w="3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firstLine="8"/>
        <w:spacing w:after="0" w:line="228" w:lineRule="auto"/>
        <w:tabs>
          <w:tab w:leader="none" w:pos="112"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addition to an aggregate of 1,858,735 shares of the Issuer's common stock (the "Common Stock") in the aggregate held outright, the reporting persons hold in the aggregate warrants to purchase 2,055,834 shares of Common Stock; however, the provisions of such warrants restrict the exercise of such warrants to the extent that, after giving effect to such exercise, the holder of the warrants and its affiliates, together with any other person or entities with which such holder would constitute a group, would beneficially own in excess of 9.99% of the number of shares of Common Stock outstanding immediately after giving effect to such exercise (the "Beneficial Ownership Cap"). As a result, an aggregate of 934,192 shares underlying such warrants are beneficially owned by the reporting persons.</w:t>
      </w:r>
    </w:p>
    <w:p>
      <w:pPr>
        <w:spacing w:after="0" w:line="242" w:lineRule="exact"/>
        <w:rPr>
          <w:sz w:val="20"/>
          <w:szCs w:val="20"/>
          <w:color w:val="auto"/>
        </w:rPr>
      </w:pPr>
    </w:p>
    <w:p>
      <w:pPr>
        <w:jc w:val="both"/>
        <w:ind w:firstLine="8"/>
        <w:spacing w:after="0" w:line="210" w:lineRule="auto"/>
        <w:tabs>
          <w:tab w:leader="none" w:pos="112"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a total of 27,957,230 shares outstanding, which is the sum of (i) 27,023,038 common shares outstanding as reported by the Issuer in its Form 10-Q filed with the Securities and Exchange Commission (the "SEC") on November 9, 2023 and (ii) 934,192 shares of the Common Stock issuable upon exercise of warrants held by the reporting persons (subject to the Beneficial Ownership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376555</wp:posOffset>
            </wp:positionV>
            <wp:extent cx="71361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44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Mr. Ortav Yehudai</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USA</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18"/>
                <w:szCs w:val="18"/>
                <w:color w:val="auto"/>
              </w:rPr>
            </w:pPr>
          </w:p>
        </w:tc>
        <w:tc>
          <w:tcPr>
            <w:tcW w:w="6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2,792,927</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200" w:type="dxa"/>
            <w:vAlign w:val="bottom"/>
          </w:tcPr>
          <w:p>
            <w:pPr>
              <w:spacing w:after="0"/>
              <w:rPr>
                <w:sz w:val="17"/>
                <w:szCs w:val="17"/>
                <w:color w:val="auto"/>
              </w:rPr>
            </w:pPr>
          </w:p>
        </w:tc>
        <w:tc>
          <w:tcPr>
            <w:tcW w:w="6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2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2,792,927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2,792,927</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0"/>
        </w:trPr>
        <w:tc>
          <w:tcPr>
            <w:tcW w:w="40" w:type="dxa"/>
            <w:vAlign w:val="bottom"/>
            <w:tcBorders>
              <w:right w:val="single" w:sz="8" w:color="auto"/>
            </w:tcBorders>
            <w:shd w:val="clear" w:color="auto" w:fill="000000"/>
          </w:tcPr>
          <w:p>
            <w:pPr>
              <w:spacing w:after="0"/>
              <w:rPr>
                <w:sz w:val="24"/>
                <w:szCs w:val="24"/>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4"/>
                <w:szCs w:val="24"/>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860"/>
              <w:spacing w:after="0"/>
              <w:rPr>
                <w:sz w:val="20"/>
                <w:szCs w:val="20"/>
                <w:color w:val="auto"/>
              </w:rPr>
            </w:pPr>
            <w:r>
              <w:rPr>
                <w:rFonts w:ascii="Wingdings" w:cs="Wingdings" w:eastAsia="Wingdings" w:hAnsi="Wingdings"/>
                <w:sz w:val="18"/>
                <w:szCs w:val="18"/>
                <w:b w:val="1"/>
                <w:bCs w:val="1"/>
                <w:color w:val="auto"/>
              </w:rPr>
              <w:t>x</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shd w:val="clear" w:color="auto" w:fill="000000"/>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 w:type="dxa"/>
            <w:vAlign w:val="bottom"/>
            <w:tcBorders>
              <w:right w:val="single" w:sz="8" w:color="auto"/>
            </w:tcBorders>
            <w:shd w:val="clear" w:color="auto" w:fill="000000"/>
          </w:tcPr>
          <w:p>
            <w:pPr>
              <w:spacing w:after="0"/>
              <w:rPr>
                <w:sz w:val="24"/>
                <w:szCs w:val="24"/>
                <w:color w:val="auto"/>
              </w:rPr>
            </w:pPr>
          </w:p>
        </w:tc>
        <w:tc>
          <w:tcPr>
            <w:tcW w:w="560" w:type="dxa"/>
            <w:vAlign w:val="bottom"/>
            <w:vMerge w:val="continue"/>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9.99%</w:t>
            </w:r>
            <w:r>
              <w:rPr>
                <w:rFonts w:ascii="Times New Roman" w:cs="Times New Roman" w:eastAsia="Times New Roman" w:hAnsi="Times New Roman"/>
                <w:sz w:val="29"/>
                <w:szCs w:val="29"/>
                <w:color w:val="auto"/>
                <w:vertAlign w:val="superscript"/>
              </w:rPr>
              <w:t>2</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tcPr>
          <w:p>
            <w:pPr>
              <w:spacing w:after="0"/>
              <w:rPr>
                <w:sz w:val="21"/>
                <w:szCs w:val="21"/>
                <w:color w:val="auto"/>
              </w:rPr>
            </w:pPr>
          </w:p>
        </w:tc>
        <w:tc>
          <w:tcPr>
            <w:tcW w:w="3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IN/HC</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firstLine="8"/>
        <w:spacing w:after="0" w:line="228" w:lineRule="auto"/>
        <w:tabs>
          <w:tab w:leader="none" w:pos="112"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addition to an aggregate of 1,858,735 shares of the Issuer's common stock (the "Common Stock") in the aggregate held outright, the reporting persons hold in the aggregate warrants to purchase 2,055,834 shares of Common Stock; however, the provisions of such warrants restrict the exercise of such warrants to the extent that, after giving effect to such exercise, the holder of the warrants and its affiliates, together with any other person or entities with which such holder would constitute a group, would beneficially own in excess of 9.99% of the number of shares of Common Stock outstanding immediately after giving effect to such exercise (the "Beneficial Ownership Cap"). As a result, an aggregate of 934,192 shares underlying such warrants are beneficially owned by the reporting persons.</w:t>
      </w:r>
    </w:p>
    <w:p>
      <w:pPr>
        <w:spacing w:after="0" w:line="242" w:lineRule="exact"/>
        <w:rPr>
          <w:sz w:val="20"/>
          <w:szCs w:val="20"/>
          <w:color w:val="auto"/>
        </w:rPr>
      </w:pPr>
    </w:p>
    <w:p>
      <w:pPr>
        <w:jc w:val="both"/>
        <w:ind w:firstLine="8"/>
        <w:spacing w:after="0" w:line="210" w:lineRule="auto"/>
        <w:tabs>
          <w:tab w:leader="none" w:pos="112"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a total of 27,957,230 shares outstanding, which is the sum of (i) 27,023,038 common shares outstanding as reported by the Issuer in its Form 10-Q filed with the Securities and Exchange Commission (the "SEC") on November 9, 2023 and (ii) 934,192 shares of the Common Stock issuable upon exercise of warrants held by the reporting persons (subject to the Beneficial Ownership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119380</wp:posOffset>
            </wp:positionV>
            <wp:extent cx="713613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343 Allerton Ave.</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Persons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Great Point Partners, LLC</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Dr. Jeffrey R. Jay, M.D.</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Mr. Ortav Yehudai</w:t>
      </w:r>
    </w:p>
    <w:p>
      <w:pPr>
        <w:spacing w:after="0" w:line="207"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The Reporting Persons have entered into a Joint Filing Agreement, dated February 14, 2024, a copy of which is filed with this SCHEDULE 13G/A as Exhibit A, pursuant to which the Reporting Persons have agreed to file this statement jointly in accordance with the provisions of Rule 13d-1(k)(1) under the Act.</w:t>
      </w:r>
    </w:p>
    <w:p>
      <w:pPr>
        <w:spacing w:after="0" w:line="17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165 Mason Street, 3rd Floor</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Great Point Partners, LLC is a limited liability company organized under the laws of the State of Delaware. Dr. Jeffrey R. Jay, M.D. is a citizen of the United States. Mr. Ortav Yehudai is a citizen of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$0.001 par value per share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92840H400</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ectPr>
          <w:pgSz w:w="11900" w:h="16838" w:orient="portrait"/>
          <w:cols w:equalWidth="0" w:num="1">
            <w:col w:w="11240"/>
          </w:cols>
          <w:pgMar w:left="320" w:top="663" w:right="339" w:bottom="0" w:gutter="0" w:footer="0" w:header="0"/>
        </w:sectPr>
      </w:pPr>
    </w:p>
    <w:bookmarkStart w:id="5" w:name="page6"/>
    <w:bookmarkEnd w:id="5"/>
    <w:p>
      <w:pPr>
        <w:spacing w:after="0" w:line="78" w:lineRule="exact"/>
        <w:rPr>
          <w:sz w:val="20"/>
          <w:szCs w:val="20"/>
          <w:color w:val="auto"/>
        </w:rPr>
      </w:pPr>
    </w:p>
    <w:p>
      <w:pPr>
        <w:jc w:val="both"/>
        <w:ind w:left="792"/>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4(a) - (c) is set forth in Rows (5) - (11) of the cover pages for the Reporting Persons and is incorporated herein by reference.</w:t>
      </w:r>
    </w:p>
    <w:p>
      <w:pPr>
        <w:spacing w:after="0" w:line="54" w:lineRule="exact"/>
        <w:rPr>
          <w:sz w:val="20"/>
          <w:szCs w:val="20"/>
          <w:color w:val="auto"/>
        </w:rPr>
      </w:pPr>
    </w:p>
    <w:p>
      <w:pPr>
        <w:jc w:val="both"/>
        <w:ind w:left="792"/>
        <w:spacing w:after="0" w:line="261" w:lineRule="auto"/>
        <w:rPr>
          <w:sz w:val="20"/>
          <w:szCs w:val="20"/>
          <w:color w:val="auto"/>
        </w:rPr>
      </w:pPr>
      <w:r>
        <w:rPr>
          <w:rFonts w:ascii="Times New Roman" w:cs="Times New Roman" w:eastAsia="Times New Roman" w:hAnsi="Times New Roman"/>
          <w:sz w:val="18"/>
          <w:szCs w:val="18"/>
          <w:color w:val="auto"/>
        </w:rPr>
        <w:t>The percentage set forth in Row (11) of the cover pages for the Reporting Persons are based on a total of 27,957,230 shares outstanding, which is the sum of (i) 27,023,038 common shares outstanding as reported by the Issuer in its Form 10-Q filed with the Securities and Exchange Commission (the "SEC") on November 9, 2023 and (ii) 934,192 shares of the Common Stock issuable upon exercise of warrants held by the reporting persons (subject to the Beneficial Ownership Cap).</w:t>
      </w:r>
    </w:p>
    <w:p>
      <w:pPr>
        <w:spacing w:after="0" w:line="72" w:lineRule="exact"/>
        <w:rPr>
          <w:sz w:val="20"/>
          <w:szCs w:val="20"/>
          <w:color w:val="auto"/>
        </w:rPr>
      </w:pPr>
    </w:p>
    <w:p>
      <w:pPr>
        <w:jc w:val="both"/>
        <w:ind w:left="792"/>
        <w:spacing w:after="0" w:line="255" w:lineRule="auto"/>
        <w:rPr>
          <w:sz w:val="20"/>
          <w:szCs w:val="20"/>
          <w:color w:val="auto"/>
        </w:rPr>
      </w:pPr>
      <w:r>
        <w:rPr>
          <w:rFonts w:ascii="Times New Roman" w:cs="Times New Roman" w:eastAsia="Times New Roman" w:hAnsi="Times New Roman"/>
          <w:sz w:val="18"/>
          <w:szCs w:val="18"/>
          <w:color w:val="auto"/>
        </w:rPr>
        <w:t>Biomedical Value Fund, L.P. (“BVF”) is the record holder of 1,055,761 shares of Common Stock (the “BVF Shares”). Such shares constitute 3.77% of the shares of Common Stock outstanding, computed in accordance with Rule 13d-3. BVF is the record holder of warrants to purchase an additional 1,167,713 shares of Common Stock (the “BVF Warrants”). As a result of the Beneficial Ownership Cap, 530,621 shares underlying such warrants are exercisable, which constitutes 1.90% of the shares of Common Stock outstanding, computed in accordance with Rule 13d-3. Each of Dr. Jeffrey R. Jay, M.D. (“Dr. Jay”), as Senior Managing Member of Great Point, and Mr. Ortav Yehudai (“Mr. Yehudai”), as Managing Director of Great Point, has voting and investment power with respect to the BVF Shares, and therefore may be deemed to be the beneficial owner of the BVF Shares.</w:t>
      </w:r>
    </w:p>
    <w:p>
      <w:pPr>
        <w:spacing w:after="0" w:line="81" w:lineRule="exact"/>
        <w:rPr>
          <w:sz w:val="20"/>
          <w:szCs w:val="20"/>
          <w:color w:val="auto"/>
        </w:rPr>
      </w:pPr>
    </w:p>
    <w:p>
      <w:pPr>
        <w:jc w:val="both"/>
        <w:ind w:left="792"/>
        <w:spacing w:after="0" w:line="255" w:lineRule="auto"/>
        <w:rPr>
          <w:sz w:val="20"/>
          <w:szCs w:val="20"/>
          <w:color w:val="auto"/>
        </w:rPr>
      </w:pPr>
      <w:r>
        <w:rPr>
          <w:rFonts w:ascii="Times New Roman" w:cs="Times New Roman" w:eastAsia="Times New Roman" w:hAnsi="Times New Roman"/>
          <w:sz w:val="18"/>
          <w:szCs w:val="18"/>
          <w:color w:val="auto"/>
        </w:rPr>
        <w:t>Biomedical Offshore Value Fund, Ltd. (“BOVF”) is the record holder of 676,580 shares of Common Stock (the “BOVF Shares”). Such shares constitute 2.42% of the shares of Common Stock outstanding, computed in accordance with Rule 13d-3. BOVF is the record holder of warrants to purchase an additional 748,324 shares of Common Stock (the “BOVF Warrants”). As a result of the Beneficial Ownership Cap, 340,046 shares underlying such warrants are exercisable, which constitutes 1.22% of the shares of Common Stock outstanding, computed in accordance with Rule 13d-3. Each of Dr. Jeffrey R. Jay, M.D. (“Dr. Jay”), as Senior Managing Member of Great Point, and Mr. Ortav Yehudai (“Mr. Yehudai”), as Managing Director of Great Point, has voting and investment power with respect to the BOVF Shares, and therefore may be deemed to be the beneficial owner of the BOVF Shares.</w:t>
      </w:r>
    </w:p>
    <w:p>
      <w:pPr>
        <w:spacing w:after="0" w:line="81" w:lineRule="exact"/>
        <w:rPr>
          <w:sz w:val="20"/>
          <w:szCs w:val="20"/>
          <w:color w:val="auto"/>
        </w:rPr>
      </w:pPr>
    </w:p>
    <w:p>
      <w:pPr>
        <w:jc w:val="both"/>
        <w:ind w:left="792"/>
        <w:spacing w:after="0" w:line="255" w:lineRule="auto"/>
        <w:rPr>
          <w:sz w:val="20"/>
          <w:szCs w:val="20"/>
          <w:color w:val="auto"/>
        </w:rPr>
      </w:pPr>
      <w:r>
        <w:rPr>
          <w:rFonts w:ascii="Times New Roman" w:cs="Times New Roman" w:eastAsia="Times New Roman" w:hAnsi="Times New Roman"/>
          <w:sz w:val="18"/>
          <w:szCs w:val="18"/>
          <w:color w:val="auto"/>
        </w:rPr>
        <w:t>Cheyne Global Equity Fund (an Open-Ended Fund of Cheyne Select Master Fund ICAV) (“CGEF”) is the record holder of 126,394 shares of Common Stock (the “CGEF Shares”). Such shares constitute 0.45% of the shares of Common Stock outstanding, computed in accordance with Rule 13d-3. CGEF is the record holder of warrants to purchase an additional 139,797 shares of Common Stock (the “CGEF Warrants”). As a result of the Beneficial Ownership Cap, 63,525 shares underlying such warrants are exercisable, which constitutes 0.23% of the shares of Common Stock outstanding, computed in accordance with Rule 13d-3. Each of Dr. Jeffrey R. Jay, M.D. (“Dr. Jay”), as Senior Managing Member of Great Point, and Mr. Ortav Yehudai (“Mr. Yehudai”), as Managing Director of Great Point, has voting and investment power with respect to the CGEF Shares, and therefore may be deemed to be the beneficial owner of the CGEF Shares.</w:t>
      </w:r>
    </w:p>
    <w:p>
      <w:pPr>
        <w:spacing w:after="0" w:line="81" w:lineRule="exact"/>
        <w:rPr>
          <w:sz w:val="20"/>
          <w:szCs w:val="20"/>
          <w:color w:val="auto"/>
        </w:rPr>
      </w:pPr>
    </w:p>
    <w:p>
      <w:pPr>
        <w:jc w:val="both"/>
        <w:ind w:left="792"/>
        <w:spacing w:after="0" w:line="282" w:lineRule="auto"/>
        <w:rPr>
          <w:sz w:val="20"/>
          <w:szCs w:val="20"/>
          <w:color w:val="auto"/>
        </w:rPr>
      </w:pPr>
      <w:r>
        <w:rPr>
          <w:rFonts w:ascii="Times New Roman" w:cs="Times New Roman" w:eastAsia="Times New Roman" w:hAnsi="Times New Roman"/>
          <w:sz w:val="18"/>
          <w:szCs w:val="18"/>
          <w:color w:val="auto"/>
        </w:rPr>
        <w:t>Notwithstanding the above, Great Point, Dr. Jay and Mr. Yehudai disclaim beneficial ownership of the BVF Shares, the BOVF Shares, and the CGEF Shares, except to the extent of their respective pecuniary interests.</w:t>
      </w:r>
    </w:p>
    <w:p>
      <w:pPr>
        <w:spacing w:after="0" w:line="54" w:lineRule="exact"/>
        <w:rPr>
          <w:sz w:val="20"/>
          <w:szCs w:val="20"/>
          <w:color w:val="auto"/>
        </w:rPr>
      </w:pPr>
    </w:p>
    <w:p>
      <w:pPr>
        <w:ind w:left="792"/>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3" w:lineRule="exact"/>
        <w:rPr>
          <w:sz w:val="20"/>
          <w:szCs w:val="20"/>
          <w:color w:val="auto"/>
        </w:rPr>
      </w:pPr>
    </w:p>
    <w:p>
      <w:pPr>
        <w:ind w:left="972" w:hanging="180"/>
        <w:spacing w:after="0"/>
        <w:tabs>
          <w:tab w:leader="none" w:pos="9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Great Point Partners, LLC</w:t>
      </w:r>
    </w:p>
    <w:p>
      <w:pPr>
        <w:spacing w:after="0" w:line="121" w:lineRule="exact"/>
        <w:rPr>
          <w:sz w:val="20"/>
          <w:szCs w:val="20"/>
          <w:color w:val="auto"/>
        </w:rPr>
      </w:pPr>
    </w:p>
    <w:p>
      <w:pPr>
        <w:ind w:left="1032" w:hanging="240"/>
        <w:spacing w:after="0"/>
        <w:tabs>
          <w:tab w:leader="none" w:pos="10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2,792,927</w:t>
      </w:r>
    </w:p>
    <w:p>
      <w:pPr>
        <w:spacing w:after="0" w:line="120" w:lineRule="exact"/>
        <w:rPr>
          <w:rFonts w:ascii="Times New Roman" w:cs="Times New Roman" w:eastAsia="Times New Roman" w:hAnsi="Times New Roman"/>
          <w:sz w:val="18"/>
          <w:szCs w:val="18"/>
          <w:color w:val="auto"/>
        </w:rPr>
      </w:pPr>
    </w:p>
    <w:p>
      <w:pPr>
        <w:ind w:left="1052" w:hanging="260"/>
        <w:spacing w:after="0"/>
        <w:tabs>
          <w:tab w:leader="none" w:pos="10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9.99%</w:t>
      </w:r>
      <w:r>
        <w:rPr>
          <w:rFonts w:ascii="Times New Roman" w:cs="Times New Roman" w:eastAsia="Times New Roman" w:hAnsi="Times New Roman"/>
          <w:sz w:val="29"/>
          <w:szCs w:val="29"/>
          <w:color w:val="auto"/>
          <w:vertAlign w:val="superscript"/>
        </w:rPr>
        <w:t>1</w:t>
      </w:r>
    </w:p>
    <w:p>
      <w:pPr>
        <w:spacing w:after="0" w:line="47" w:lineRule="exact"/>
        <w:rPr>
          <w:rFonts w:ascii="Times New Roman" w:cs="Times New Roman" w:eastAsia="Times New Roman" w:hAnsi="Times New Roman"/>
          <w:sz w:val="18"/>
          <w:szCs w:val="18"/>
          <w:color w:val="auto"/>
        </w:rPr>
      </w:pPr>
    </w:p>
    <w:p>
      <w:pPr>
        <w:ind w:left="1032" w:hanging="240"/>
        <w:spacing w:after="0"/>
        <w:tabs>
          <w:tab w:leader="none" w:pos="10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97" w:lineRule="exact"/>
        <w:rPr>
          <w:rFonts w:ascii="Times New Roman" w:cs="Times New Roman" w:eastAsia="Times New Roman" w:hAnsi="Times New Roman"/>
          <w:sz w:val="18"/>
          <w:szCs w:val="18"/>
          <w:color w:val="auto"/>
        </w:rPr>
      </w:pPr>
    </w:p>
    <w:p>
      <w:pPr>
        <w:ind w:left="1372" w:hanging="220"/>
        <w:spacing w:after="0"/>
        <w:tabs>
          <w:tab w:leader="none" w:pos="13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117" w:lineRule="exact"/>
        <w:rPr>
          <w:rFonts w:ascii="Times New Roman" w:cs="Times New Roman" w:eastAsia="Times New Roman" w:hAnsi="Times New Roman"/>
          <w:sz w:val="18"/>
          <w:szCs w:val="18"/>
          <w:color w:val="auto"/>
        </w:rPr>
      </w:pPr>
    </w:p>
    <w:p>
      <w:pPr>
        <w:ind w:left="1412" w:hanging="260"/>
        <w:spacing w:after="0"/>
        <w:tabs>
          <w:tab w:leader="none" w:pos="141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2,792,927</w:t>
      </w:r>
    </w:p>
    <w:p>
      <w:pPr>
        <w:spacing w:after="0" w:line="117" w:lineRule="exact"/>
        <w:rPr>
          <w:rFonts w:ascii="Times New Roman" w:cs="Times New Roman" w:eastAsia="Times New Roman" w:hAnsi="Times New Roman"/>
          <w:sz w:val="18"/>
          <w:szCs w:val="18"/>
          <w:color w:val="auto"/>
        </w:rPr>
      </w:pPr>
    </w:p>
    <w:p>
      <w:pPr>
        <w:ind w:left="1472" w:hanging="320"/>
        <w:spacing w:after="0"/>
        <w:tabs>
          <w:tab w:leader="none" w:pos="14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117" w:lineRule="exact"/>
        <w:rPr>
          <w:rFonts w:ascii="Times New Roman" w:cs="Times New Roman" w:eastAsia="Times New Roman" w:hAnsi="Times New Roman"/>
          <w:sz w:val="18"/>
          <w:szCs w:val="18"/>
          <w:color w:val="auto"/>
        </w:rPr>
      </w:pPr>
    </w:p>
    <w:p>
      <w:pPr>
        <w:ind w:left="1452" w:hanging="300"/>
        <w:spacing w:after="0"/>
        <w:tabs>
          <w:tab w:leader="none" w:pos="145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2,792,927</w:t>
      </w:r>
    </w:p>
    <w:p>
      <w:pPr>
        <w:spacing w:after="0" w:line="200" w:lineRule="exact"/>
        <w:rPr>
          <w:sz w:val="20"/>
          <w:szCs w:val="20"/>
          <w:color w:val="auto"/>
        </w:rPr>
      </w:pPr>
    </w:p>
    <w:p>
      <w:pPr>
        <w:spacing w:after="0" w:line="237" w:lineRule="exact"/>
        <w:rPr>
          <w:sz w:val="20"/>
          <w:szCs w:val="20"/>
          <w:color w:val="auto"/>
        </w:rPr>
      </w:pPr>
    </w:p>
    <w:p>
      <w:pPr>
        <w:ind w:left="972" w:hanging="180"/>
        <w:spacing w:after="0"/>
        <w:tabs>
          <w:tab w:leader="none" w:pos="9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 Jeffrey R. Jay, M.D.</w:t>
      </w:r>
    </w:p>
    <w:p>
      <w:pPr>
        <w:spacing w:after="0" w:line="121" w:lineRule="exact"/>
        <w:rPr>
          <w:sz w:val="20"/>
          <w:szCs w:val="20"/>
          <w:color w:val="auto"/>
        </w:rPr>
      </w:pPr>
    </w:p>
    <w:p>
      <w:pPr>
        <w:ind w:left="1032" w:hanging="240"/>
        <w:spacing w:after="0"/>
        <w:tabs>
          <w:tab w:leader="none" w:pos="10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2,792,927</w:t>
      </w:r>
    </w:p>
    <w:p>
      <w:pPr>
        <w:spacing w:after="0" w:line="120" w:lineRule="exact"/>
        <w:rPr>
          <w:rFonts w:ascii="Times New Roman" w:cs="Times New Roman" w:eastAsia="Times New Roman" w:hAnsi="Times New Roman"/>
          <w:sz w:val="18"/>
          <w:szCs w:val="18"/>
          <w:color w:val="auto"/>
        </w:rPr>
      </w:pPr>
    </w:p>
    <w:p>
      <w:pPr>
        <w:ind w:left="1052" w:hanging="260"/>
        <w:spacing w:after="0"/>
        <w:tabs>
          <w:tab w:leader="none" w:pos="10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9.99%</w:t>
      </w:r>
      <w:r>
        <w:rPr>
          <w:rFonts w:ascii="Times New Roman" w:cs="Times New Roman" w:eastAsia="Times New Roman" w:hAnsi="Times New Roman"/>
          <w:sz w:val="29"/>
          <w:szCs w:val="29"/>
          <w:color w:val="auto"/>
          <w:vertAlign w:val="superscript"/>
        </w:rPr>
        <w:t>1</w:t>
      </w:r>
    </w:p>
    <w:p>
      <w:pPr>
        <w:spacing w:after="0" w:line="47" w:lineRule="exact"/>
        <w:rPr>
          <w:rFonts w:ascii="Times New Roman" w:cs="Times New Roman" w:eastAsia="Times New Roman" w:hAnsi="Times New Roman"/>
          <w:sz w:val="18"/>
          <w:szCs w:val="18"/>
          <w:color w:val="auto"/>
        </w:rPr>
      </w:pPr>
    </w:p>
    <w:p>
      <w:pPr>
        <w:ind w:left="1032" w:hanging="240"/>
        <w:spacing w:after="0"/>
        <w:tabs>
          <w:tab w:leader="none" w:pos="10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97" w:lineRule="exact"/>
        <w:rPr>
          <w:rFonts w:ascii="Times New Roman" w:cs="Times New Roman" w:eastAsia="Times New Roman" w:hAnsi="Times New Roman"/>
          <w:sz w:val="18"/>
          <w:szCs w:val="18"/>
          <w:color w:val="auto"/>
        </w:rPr>
      </w:pPr>
    </w:p>
    <w:p>
      <w:pPr>
        <w:ind w:left="1372" w:hanging="220"/>
        <w:spacing w:after="0"/>
        <w:tabs>
          <w:tab w:leader="none" w:pos="137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117" w:lineRule="exact"/>
        <w:rPr>
          <w:rFonts w:ascii="Times New Roman" w:cs="Times New Roman" w:eastAsia="Times New Roman" w:hAnsi="Times New Roman"/>
          <w:sz w:val="18"/>
          <w:szCs w:val="18"/>
          <w:color w:val="auto"/>
        </w:rPr>
      </w:pPr>
    </w:p>
    <w:p>
      <w:pPr>
        <w:ind w:left="1412" w:hanging="260"/>
        <w:spacing w:after="0"/>
        <w:tabs>
          <w:tab w:leader="none" w:pos="141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2,792,927</w:t>
      </w:r>
    </w:p>
    <w:p>
      <w:pPr>
        <w:spacing w:after="0" w:line="117" w:lineRule="exact"/>
        <w:rPr>
          <w:rFonts w:ascii="Times New Roman" w:cs="Times New Roman" w:eastAsia="Times New Roman" w:hAnsi="Times New Roman"/>
          <w:sz w:val="18"/>
          <w:szCs w:val="18"/>
          <w:color w:val="auto"/>
        </w:rPr>
      </w:pPr>
    </w:p>
    <w:p>
      <w:pPr>
        <w:ind w:left="1472" w:hanging="320"/>
        <w:spacing w:after="0"/>
        <w:tabs>
          <w:tab w:leader="none" w:pos="147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117" w:lineRule="exact"/>
        <w:rPr>
          <w:rFonts w:ascii="Times New Roman" w:cs="Times New Roman" w:eastAsia="Times New Roman" w:hAnsi="Times New Roman"/>
          <w:sz w:val="18"/>
          <w:szCs w:val="18"/>
          <w:color w:val="auto"/>
        </w:rPr>
      </w:pPr>
    </w:p>
    <w:p>
      <w:pPr>
        <w:ind w:left="1452" w:hanging="300"/>
        <w:spacing w:after="0"/>
        <w:tabs>
          <w:tab w:leader="none" w:pos="145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2,792,927</w:t>
      </w:r>
    </w:p>
    <w:p>
      <w:pPr>
        <w:spacing w:after="0" w:line="200" w:lineRule="exact"/>
        <w:rPr>
          <w:sz w:val="20"/>
          <w:szCs w:val="20"/>
          <w:color w:val="auto"/>
        </w:rPr>
      </w:pPr>
    </w:p>
    <w:p>
      <w:pPr>
        <w:spacing w:after="0" w:line="237" w:lineRule="exact"/>
        <w:rPr>
          <w:sz w:val="20"/>
          <w:szCs w:val="20"/>
          <w:color w:val="auto"/>
        </w:rPr>
      </w:pPr>
    </w:p>
    <w:p>
      <w:pPr>
        <w:ind w:left="972" w:hanging="180"/>
        <w:spacing w:after="0"/>
        <w:tabs>
          <w:tab w:leader="none" w:pos="9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Mr. Ortav Yehudai</w:t>
      </w:r>
    </w:p>
    <w:p>
      <w:pPr>
        <w:spacing w:after="0" w:line="121" w:lineRule="exact"/>
        <w:rPr>
          <w:sz w:val="20"/>
          <w:szCs w:val="20"/>
          <w:color w:val="auto"/>
        </w:rPr>
      </w:pPr>
    </w:p>
    <w:p>
      <w:pPr>
        <w:ind w:left="1032" w:hanging="240"/>
        <w:spacing w:after="0"/>
        <w:tabs>
          <w:tab w:leader="none" w:pos="10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2,792,927</w:t>
      </w:r>
    </w:p>
    <w:p>
      <w:pPr>
        <w:spacing w:after="0" w:line="120" w:lineRule="exact"/>
        <w:rPr>
          <w:rFonts w:ascii="Times New Roman" w:cs="Times New Roman" w:eastAsia="Times New Roman" w:hAnsi="Times New Roman"/>
          <w:sz w:val="18"/>
          <w:szCs w:val="18"/>
          <w:color w:val="auto"/>
        </w:rPr>
      </w:pPr>
    </w:p>
    <w:p>
      <w:pPr>
        <w:ind w:left="1052" w:hanging="260"/>
        <w:spacing w:after="0"/>
        <w:tabs>
          <w:tab w:leader="none" w:pos="10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9.99%</w:t>
      </w:r>
      <w:r>
        <w:rPr>
          <w:rFonts w:ascii="Times New Roman" w:cs="Times New Roman" w:eastAsia="Times New Roman" w:hAnsi="Times New Roman"/>
          <w:sz w:val="29"/>
          <w:szCs w:val="29"/>
          <w:color w:val="auto"/>
          <w:vertAlign w:val="superscript"/>
        </w:rPr>
        <w:t>1</w:t>
      </w:r>
    </w:p>
    <w:p>
      <w:pPr>
        <w:spacing w:after="0" w:line="47" w:lineRule="exact"/>
        <w:rPr>
          <w:rFonts w:ascii="Times New Roman" w:cs="Times New Roman" w:eastAsia="Times New Roman" w:hAnsi="Times New Roman"/>
          <w:sz w:val="18"/>
          <w:szCs w:val="18"/>
          <w:color w:val="auto"/>
        </w:rPr>
      </w:pPr>
    </w:p>
    <w:p>
      <w:pPr>
        <w:ind w:left="1032" w:hanging="240"/>
        <w:spacing w:after="0"/>
        <w:tabs>
          <w:tab w:leader="none" w:pos="10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97" w:lineRule="exact"/>
        <w:rPr>
          <w:rFonts w:ascii="Times New Roman" w:cs="Times New Roman" w:eastAsia="Times New Roman" w:hAnsi="Times New Roman"/>
          <w:sz w:val="18"/>
          <w:szCs w:val="18"/>
          <w:color w:val="auto"/>
        </w:rPr>
      </w:pPr>
    </w:p>
    <w:p>
      <w:pPr>
        <w:ind w:left="1372" w:hanging="220"/>
        <w:spacing w:after="0"/>
        <w:tabs>
          <w:tab w:leader="none" w:pos="13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117" w:lineRule="exact"/>
        <w:rPr>
          <w:rFonts w:ascii="Times New Roman" w:cs="Times New Roman" w:eastAsia="Times New Roman" w:hAnsi="Times New Roman"/>
          <w:sz w:val="18"/>
          <w:szCs w:val="18"/>
          <w:color w:val="auto"/>
        </w:rPr>
      </w:pPr>
    </w:p>
    <w:p>
      <w:pPr>
        <w:ind w:left="1412" w:hanging="260"/>
        <w:spacing w:after="0"/>
        <w:tabs>
          <w:tab w:leader="none" w:pos="14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2,792,927</w:t>
      </w:r>
    </w:p>
    <w:p>
      <w:pPr>
        <w:spacing w:after="0" w:line="117" w:lineRule="exact"/>
        <w:rPr>
          <w:rFonts w:ascii="Times New Roman" w:cs="Times New Roman" w:eastAsia="Times New Roman" w:hAnsi="Times New Roman"/>
          <w:sz w:val="18"/>
          <w:szCs w:val="18"/>
          <w:color w:val="auto"/>
        </w:rPr>
      </w:pPr>
    </w:p>
    <w:p>
      <w:pPr>
        <w:ind w:left="1472" w:hanging="320"/>
        <w:spacing w:after="0"/>
        <w:tabs>
          <w:tab w:leader="none" w:pos="14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117" w:lineRule="exact"/>
        <w:rPr>
          <w:rFonts w:ascii="Times New Roman" w:cs="Times New Roman" w:eastAsia="Times New Roman" w:hAnsi="Times New Roman"/>
          <w:sz w:val="18"/>
          <w:szCs w:val="18"/>
          <w:color w:val="auto"/>
        </w:rPr>
      </w:pPr>
    </w:p>
    <w:p>
      <w:pPr>
        <w:ind w:left="1452" w:hanging="300"/>
        <w:spacing w:after="0"/>
        <w:tabs>
          <w:tab w:leader="none" w:pos="14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2,792,927</w:t>
      </w:r>
    </w:p>
    <w:p>
      <w:pPr>
        <w:spacing w:after="0" w:line="200" w:lineRule="exact"/>
        <w:rPr>
          <w:sz w:val="20"/>
          <w:szCs w:val="20"/>
          <w:color w:val="auto"/>
        </w:rPr>
      </w:pPr>
    </w:p>
    <w:p>
      <w:pPr>
        <w:spacing w:after="0" w:line="282" w:lineRule="exact"/>
        <w:rPr>
          <w:sz w:val="20"/>
          <w:szCs w:val="20"/>
          <w:color w:val="auto"/>
        </w:rPr>
      </w:pPr>
    </w:p>
    <w:p>
      <w:pPr>
        <w:jc w:val="both"/>
        <w:ind w:left="-8" w:firstLine="8"/>
        <w:spacing w:after="0" w:line="195" w:lineRule="auto"/>
        <w:tabs>
          <w:tab w:leader="none" w:pos="104"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a total of 27,957,230 shares outstanding, which is the sum of (i) 27,023,038 common shares outstanding as reported by the Issuer in its Form 10-Q filed with the Securities and Exchange Commission (the "SEC") on November 9, 2023 and (ii) 934,192 shares of the Common Stock issuable upon</w:t>
      </w:r>
    </w:p>
    <w:p>
      <w:pPr>
        <w:sectPr>
          <w:pgSz w:w="11900" w:h="16916" w:orient="portrait"/>
          <w:cols w:equalWidth="0" w:num="1">
            <w:col w:w="11232"/>
          </w:cols>
          <w:pgMar w:left="328" w:top="121" w:right="33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exercise of warrants held by the reporting persons (subject to the Beneficial Ownership Cap).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4.</w:t>
      </w:r>
    </w:p>
    <w:p>
      <w:pPr>
        <w:spacing w:after="0" w:line="95" w:lineRule="exact"/>
        <w:rPr>
          <w:sz w:val="20"/>
          <w:szCs w:val="20"/>
          <w:color w:val="auto"/>
        </w:rPr>
      </w:pPr>
    </w:p>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Great Point Partners, LLC</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Dr. Jeffrey R. Jay, M.D., as Senior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 Jeffrey R. Jay, M.D.</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Dr. Jeffrey R. Jay, M.D.</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Mr. Ortav Yehudai</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Mr. Ortav Yehudai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829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Mr. Ortav Yehudai</w:t>
      </w:r>
    </w:p>
    <w:p>
      <w:pPr>
        <w:sectPr>
          <w:pgSz w:w="11900" w:h="16838" w:orient="portrait"/>
          <w:cols w:equalWidth="0" w:num="1">
            <w:col w:w="11240"/>
          </w:cols>
          <w:pgMar w:left="320" w:top="730" w:right="3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agree as follows:</w:t>
      </w:r>
    </w:p>
    <w:p>
      <w:pPr>
        <w:spacing w:after="0" w:line="225" w:lineRule="exact"/>
        <w:rPr>
          <w:sz w:val="20"/>
          <w:szCs w:val="20"/>
          <w:color w:val="auto"/>
        </w:rPr>
      </w:pPr>
    </w:p>
    <w:p>
      <w:pPr>
        <w:ind w:firstLine="8"/>
        <w:spacing w:after="0" w:line="282" w:lineRule="auto"/>
        <w:tabs>
          <w:tab w:leader="none" w:pos="2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is individually eligible to use the SCHEDULE 13G/A to which this Exhibit is attached, and such SCHEDULE 13G/A is filed on behalf of each of them;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is responsible for the timely filing of such SCHEDULE 13G/A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Great Point Partners, LLC</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Dr. Jeffrey R. Jay, M.D., as Senior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 Jeffrey R. Jay, M.D.</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Dr. Jeffrey R. Jay, M.D.</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Mr. Ortav Yehudai</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Mr. Ortav Yehudai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829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Mr. Ortav Yehudai</w:t>
      </w:r>
    </w:p>
    <w:sectPr>
      <w:pgSz w:w="11900" w:h="16838" w:orient="portrait"/>
      <w:cols w:equalWidth="0" w:num="1">
        <w:col w:w="11240"/>
      </w:cols>
      <w:pgMar w:left="320" w:top="7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2"/>
      <w:numFmt w:val="bullet"/>
      <w:start w:val="1"/>
    </w:lvl>
  </w:abstractNum>
  <w:abstractNum w:abstractNumId="3">
    <w:nsid w:val="4DB127F8"/>
    <w:multiLevelType w:val="hybridMultilevel"/>
    <w:lvl w:ilvl="0">
      <w:lvlJc w:val="left"/>
      <w:lvlText w:val="1"/>
      <w:numFmt w:val="bullet"/>
      <w:start w:val="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1"/>
      <w:numFmt w:val="bullet"/>
      <w:start w:val="1"/>
    </w:lvl>
  </w:abstractNum>
  <w:abstractNum w:abstractNumId="6">
    <w:nsid w:val="1190CDE7"/>
    <w:multiLevelType w:val="hybridMultilevel"/>
    <w:lvl w:ilvl="0">
      <w:lvlJc w:val="left"/>
      <w:lvlText w:val="2"/>
      <w:numFmt w:val="bullet"/>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lowerLetter"/>
      <w:start w:val="1"/>
    </w:lvl>
    <w:lvl w:ilvl="1">
      <w:lvlJc w:val="left"/>
      <w:lvlText w:val="(%2)"/>
      <w:numFmt w:val="lowerRoman"/>
      <w:start w:val="1"/>
    </w:lvl>
  </w:abstractNum>
  <w:abstractNum w:abstractNumId="10">
    <w:nsid w:val="109CF92E"/>
    <w:multiLevelType w:val="hybridMultilevel"/>
    <w:lvl w:ilvl="0">
      <w:lvlJc w:val="left"/>
      <w:lvlText w:val="%1."/>
      <w:numFmt w:val="decimal"/>
      <w:start w:val="2"/>
    </w:lvl>
  </w:abstractNum>
  <w:abstractNum w:abstractNumId="11">
    <w:nsid w:val="DED7263"/>
    <w:multiLevelType w:val="hybridMultilevel"/>
    <w:lvl w:ilvl="0">
      <w:lvlJc w:val="left"/>
      <w:lvlText w:val="(%1)"/>
      <w:numFmt w:val="lowerLetter"/>
      <w:start w:val="1"/>
    </w:lvl>
    <w:lvl w:ilvl="1">
      <w:lvlJc w:val="left"/>
      <w:lvlText w:val="(%2)"/>
      <w:numFmt w:val="lowerRoman"/>
      <w:start w:val="1"/>
    </w:lvl>
  </w:abstractNum>
  <w:abstractNum w:abstractNumId="12">
    <w:nsid w:val="7FDCC233"/>
    <w:multiLevelType w:val="hybridMultilevel"/>
    <w:lvl w:ilvl="0">
      <w:lvlJc w:val="left"/>
      <w:lvlText w:val="%1."/>
      <w:numFmt w:val="decimal"/>
      <w:start w:val="3"/>
    </w:lvl>
  </w:abstractNum>
  <w:abstractNum w:abstractNumId="13">
    <w:nsid w:val="1BEFD79F"/>
    <w:multiLevelType w:val="hybridMultilevel"/>
    <w:lvl w:ilvl="0">
      <w:lvlJc w:val="left"/>
      <w:lvlText w:val="(%1)"/>
      <w:numFmt w:val="lowerLetter"/>
      <w:start w:val="1"/>
    </w:lvl>
    <w:lvl w:ilvl="1">
      <w:lvlJc w:val="left"/>
      <w:lvlText w:val="(%2)"/>
      <w:numFmt w:val="lowerRoman"/>
      <w:start w:val="1"/>
    </w:lvl>
  </w:abstractNum>
  <w:abstractNum w:abstractNumId="14">
    <w:nsid w:val="41A7C4C9"/>
    <w:multiLevelType w:val="hybridMultilevel"/>
    <w:lvl w:ilvl="0">
      <w:lvlJc w:val="left"/>
      <w:lvlText w:val="1"/>
      <w:numFmt w:val="bullet"/>
      <w:start w:val="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2024-02-14T17:02:58Z</dcterms:created>
  <dcterms:modified xsi:type="dcterms:W3CDTF">2024-02-14T17:02:58Z</dcterms:modified>
</cp:coreProperties>
</file>