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excb_10q.htm"/>
      <w:bookmarkStart w:id="1" w:name="ksexcb_10q"/>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10-Q</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912"/>
        <w:gridCol w:w="3742"/>
        <w:gridCol w:w="3510"/>
      </w:tblGrid>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(Mark One)</w:t>
            </w:r>
          </w:p>
        </w:tc>
      </w:tr>
      <w:tr>
        <w:trPr/>
        <w:tc>
          <w:tcPr>
            <w:tcW w:w="912"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[X]</w:t>
            </w:r>
          </w:p>
        </w:tc>
        <w:tc>
          <w:tcPr>
            <w:tcW w:w="7252"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912" w:type="dxa"/>
            <w:tcBorders/>
            <w:shd w:fill="auto" w:val="clear"/>
            <w:vAlign w:val="center"/>
          </w:tcPr>
          <w:p>
            <w:pPr>
              <w:pStyle w:val="TableContents"/>
              <w:spacing w:before="0" w:after="283"/>
              <w:rPr/>
            </w:pPr>
            <w:r>
              <w:rPr/>
              <w:t xml:space="preserve">  </w:t>
            </w:r>
          </w:p>
        </w:tc>
        <w:tc>
          <w:tcPr>
            <w:tcW w:w="7252"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sz w:val="20"/>
                <w:u w:val="single"/>
              </w:rPr>
              <w:t>March 31, 2010</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Or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912"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   ]</w:t>
            </w:r>
          </w:p>
        </w:tc>
        <w:tc>
          <w:tcPr>
            <w:tcW w:w="7252"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912" w:type="dxa"/>
            <w:tcBorders/>
            <w:shd w:fill="auto" w:val="clear"/>
            <w:vAlign w:val="center"/>
          </w:tcPr>
          <w:p>
            <w:pPr>
              <w:pStyle w:val="TableContents"/>
              <w:spacing w:before="0" w:after="283"/>
              <w:rPr/>
            </w:pPr>
            <w:r>
              <w:rPr/>
              <w:t xml:space="preserve">  </w:t>
            </w:r>
          </w:p>
        </w:tc>
        <w:tc>
          <w:tcPr>
            <w:tcW w:w="7252"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For the transition period from ____________ to _____________</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Commission File Number: 333-145977</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4"/>
                <w:u w:val="single"/>
              </w:rPr>
            </w:pPr>
            <w:r>
              <w:rPr>
                <w:rFonts w:ascii="times new roman" w:hAnsi="times new roman"/>
                <w:b/>
                <w:sz w:val="24"/>
                <w:u w:val="single"/>
              </w:rPr>
              <w:t>EXCALIBER ENTERPRISES, LTD.</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Nevada</w:t>
            </w:r>
          </w:p>
        </w:tc>
        <w:tc>
          <w:tcPr>
            <w:tcW w:w="3510"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20-5093315</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51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4654" w:type="dxa"/>
            <w:gridSpan w:val="2"/>
            <w:tcBorders/>
            <w:shd w:fill="auto" w:val="clear"/>
            <w:vAlign w:val="center"/>
          </w:tcPr>
          <w:p>
            <w:pPr>
              <w:pStyle w:val="TableContents"/>
              <w:spacing w:before="0" w:after="283"/>
              <w:rPr/>
            </w:pPr>
            <w:r>
              <w:rPr/>
              <w:t xml:space="preserve">  </w:t>
            </w:r>
          </w:p>
        </w:tc>
        <w:tc>
          <w:tcPr>
            <w:tcW w:w="3510" w:type="dxa"/>
            <w:tcBorders/>
            <w:shd w:fill="auto" w:val="clear"/>
          </w:tcPr>
          <w:p>
            <w:pPr>
              <w:pStyle w:val="TableContents"/>
              <w:spacing w:before="0" w:after="283"/>
              <w:rPr/>
            </w:pPr>
            <w:r>
              <w:rPr/>
              <w:t xml:space="preserve">  </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13834 W. Hoyt Road Rathdrum, Idaho</w:t>
            </w:r>
          </w:p>
        </w:tc>
        <w:tc>
          <w:tcPr>
            <w:tcW w:w="3510" w:type="dxa"/>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83858</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51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4654" w:type="dxa"/>
            <w:gridSpan w:val="2"/>
            <w:tcBorders/>
            <w:shd w:fill="auto" w:val="clear"/>
            <w:vAlign w:val="center"/>
          </w:tcPr>
          <w:p>
            <w:pPr>
              <w:pStyle w:val="TableContents"/>
              <w:spacing w:before="0" w:after="283"/>
              <w:rPr/>
            </w:pPr>
            <w:r>
              <w:rPr/>
              <w:t xml:space="preserve">  </w:t>
            </w:r>
          </w:p>
        </w:tc>
        <w:tc>
          <w:tcPr>
            <w:tcW w:w="3510" w:type="dxa"/>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(208) 640-9633</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former address and former fiscal year, if changed since last report)</w:t>
            </w:r>
          </w:p>
        </w:tc>
      </w:tr>
    </w:tbl>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issuer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180"/>
        <w:gridCol w:w="3984"/>
      </w:tblGrid>
      <w:tr>
        <w:trPr/>
        <w:tc>
          <w:tcPr>
            <w:tcW w:w="41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Large accelerated filer  [   ]</w:t>
            </w:r>
          </w:p>
        </w:tc>
        <w:tc>
          <w:tcPr>
            <w:tcW w:w="3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                   [   ]</w:t>
            </w:r>
          </w:p>
        </w:tc>
      </w:tr>
      <w:tr>
        <w:trPr/>
        <w:tc>
          <w:tcPr>
            <w:tcW w:w="41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    [   ]</w:t>
            </w:r>
          </w:p>
          <w:p>
            <w:pPr>
              <w:pStyle w:val="TableContents"/>
              <w:spacing w:before="0" w:after="0"/>
              <w:ind w:left="0" w:right="0" w:hanging="0"/>
              <w:jc w:val="both"/>
              <w:rPr>
                <w:rFonts w:ascii="times new roman" w:hAnsi="times new roman"/>
                <w:sz w:val="20"/>
              </w:rPr>
            </w:pPr>
            <w:r>
              <w:rPr>
                <w:rFonts w:ascii="times new roman" w:hAnsi="times new roman"/>
                <w:sz w:val="20"/>
              </w:rPr>
              <w:t>(Do not check if a smaller reporting company)</w:t>
            </w:r>
          </w:p>
        </w:tc>
        <w:tc>
          <w:tcPr>
            <w:tcW w:w="3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Smaller reporting company  [X]</w:t>
            </w:r>
          </w:p>
        </w:tc>
      </w:tr>
    </w:tbl>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the number of shares outstanding of each of the issuer's classes of common stock, as of the latest practicable date:</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082"/>
        <w:gridCol w:w="4082"/>
      </w:tblGrid>
      <w:tr>
        <w:trPr/>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Common Stock, $0.001 par value</w:t>
            </w:r>
          </w:p>
        </w:tc>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5,848,707 shares</w:t>
            </w:r>
          </w:p>
        </w:tc>
      </w:tr>
      <w:tr>
        <w:trPr/>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(Class)</w:t>
            </w:r>
          </w:p>
        </w:tc>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(Outstanding as at May 12, 2010)</w:t>
            </w:r>
          </w:p>
        </w:tc>
      </w:tr>
    </w:tbl>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567"/>
        <w:gridCol w:w="597"/>
      </w:tblGrid>
      <w:tr>
        <w:trPr/>
        <w:tc>
          <w:tcPr>
            <w:tcW w:w="7567" w:type="dxa"/>
            <w:tcBorders/>
            <w:shd w:fill="auto" w:val="clear"/>
          </w:tcPr>
          <w:p>
            <w:pPr>
              <w:pStyle w:val="TableContents"/>
              <w:spacing w:before="0" w:after="283"/>
              <w:rPr/>
            </w:pPr>
            <w:r>
              <w:rPr/>
              <w:t xml:space="preserve">  </w:t>
            </w:r>
          </w:p>
        </w:tc>
        <w:tc>
          <w:tcPr>
            <w:tcW w:w="597"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Page</w:t>
            </w:r>
          </w:p>
        </w:tc>
      </w:tr>
      <w:tr>
        <w:trPr/>
        <w:tc>
          <w:tcPr>
            <w:tcW w:w="7567" w:type="dxa"/>
            <w:tcBorders/>
            <w:shd w:fill="auto" w:val="clear"/>
          </w:tcPr>
          <w:p>
            <w:pPr>
              <w:pStyle w:val="TableContents"/>
              <w:spacing w:before="0" w:after="283"/>
              <w:rPr/>
            </w:pPr>
            <w:r>
              <w:rPr/>
              <w:t xml:space="preserve">  </w:t>
            </w:r>
          </w:p>
        </w:tc>
        <w:tc>
          <w:tcPr>
            <w:tcW w:w="597" w:type="dxa"/>
            <w:tcBorders/>
            <w:shd w:fill="auto" w:val="clear"/>
          </w:tcPr>
          <w:p>
            <w:pPr>
              <w:pStyle w:val="TableContents"/>
              <w:spacing w:before="0" w:after="283"/>
              <w:rPr/>
            </w:pPr>
            <w:r>
              <w:rPr/>
              <w:t xml:space="preserve">  </w:t>
            </w:r>
          </w:p>
        </w:tc>
      </w:tr>
      <w:tr>
        <w:trPr/>
        <w:tc>
          <w:tcPr>
            <w:tcW w:w="7567" w:type="dxa"/>
            <w:tcBorders/>
            <w:shd w:fill="CBDBD1" w:val="clear"/>
          </w:tcPr>
          <w:p>
            <w:pPr>
              <w:pStyle w:val="TableContents"/>
              <w:spacing w:before="0" w:after="0"/>
              <w:ind w:left="0" w:right="0" w:hanging="0"/>
              <w:jc w:val="left"/>
              <w:rPr/>
            </w:pPr>
            <w:hyperlink w:anchor="p1">
              <w:r>
                <w:rPr>
                  <w:rStyle w:val="InternetLink"/>
                  <w:rFonts w:ascii="times new roman" w:hAnsi="times new roman"/>
                  <w:sz w:val="20"/>
                </w:rPr>
                <w:t>PART I – FINANCIAL INFORMATION</w:t>
              </w:r>
            </w:hyperlink>
          </w:p>
        </w:tc>
        <w:tc>
          <w:tcPr>
            <w:tcW w:w="597" w:type="dxa"/>
            <w:tcBorders/>
            <w:shd w:fill="CBDBD1" w:val="clear"/>
          </w:tcPr>
          <w:p>
            <w:pPr>
              <w:pStyle w:val="TableContents"/>
              <w:spacing w:before="0" w:after="0"/>
              <w:ind w:left="0" w:right="0" w:hanging="0"/>
              <w:jc w:val="right"/>
              <w:rPr/>
            </w:pPr>
            <w:hyperlink w:anchor="p1">
              <w:r>
                <w:rPr>
                  <w:rStyle w:val="InternetLink"/>
                  <w:rFonts w:ascii="times new roman" w:hAnsi="times new roman"/>
                  <w:sz w:val="20"/>
                </w:rPr>
                <w:t>3</w:t>
              </w:r>
            </w:hyperlink>
          </w:p>
        </w:tc>
      </w:tr>
      <w:tr>
        <w:trPr/>
        <w:tc>
          <w:tcPr>
            <w:tcW w:w="7567" w:type="dxa"/>
            <w:tcBorders/>
            <w:shd w:fill="FFFFFF" w:val="clear"/>
          </w:tcPr>
          <w:p>
            <w:pPr>
              <w:pStyle w:val="TableContents"/>
              <w:spacing w:before="0" w:after="0"/>
              <w:ind w:left="0" w:right="0" w:hanging="0"/>
              <w:jc w:val="left"/>
              <w:rPr/>
            </w:pPr>
            <w:r>
              <w:rPr/>
              <w:t>     </w:t>
            </w:r>
            <w:hyperlink w:anchor="uanaud">
              <w:r>
                <w:rPr>
                  <w:rStyle w:val="InternetLink"/>
                  <w:rFonts w:ascii="times new roman" w:hAnsi="times new roman"/>
                  <w:sz w:val="20"/>
                </w:rPr>
                <w:t>Unaudited Financial Statements</w:t>
              </w:r>
            </w:hyperlink>
          </w:p>
        </w:tc>
        <w:tc>
          <w:tcPr>
            <w:tcW w:w="597" w:type="dxa"/>
            <w:tcBorders/>
            <w:shd w:fill="FFFFFF" w:val="clear"/>
          </w:tcPr>
          <w:p>
            <w:pPr>
              <w:pStyle w:val="TableContents"/>
              <w:spacing w:before="0" w:after="0"/>
              <w:ind w:left="0" w:right="0" w:hanging="0"/>
              <w:jc w:val="right"/>
              <w:rPr/>
            </w:pPr>
            <w:hyperlink w:anchor="uanaud">
              <w:r>
                <w:rPr>
                  <w:rStyle w:val="InternetLink"/>
                  <w:rFonts w:ascii="times new roman" w:hAnsi="times new roman"/>
                  <w:sz w:val="20"/>
                </w:rPr>
                <w:t>3</w:t>
              </w:r>
            </w:hyperlink>
          </w:p>
        </w:tc>
      </w:tr>
      <w:tr>
        <w:trPr/>
        <w:tc>
          <w:tcPr>
            <w:tcW w:w="7567" w:type="dxa"/>
            <w:tcBorders/>
            <w:shd w:fill="CBDBD1" w:val="clear"/>
          </w:tcPr>
          <w:p>
            <w:pPr>
              <w:pStyle w:val="TableContents"/>
              <w:spacing w:before="0" w:after="0"/>
              <w:ind w:left="0" w:right="0" w:hanging="0"/>
              <w:jc w:val="left"/>
              <w:rPr/>
            </w:pPr>
            <w:r>
              <w:rPr/>
              <w:t>          </w:t>
            </w:r>
            <w:hyperlink w:anchor="bs">
              <w:r>
                <w:rPr>
                  <w:rStyle w:val="InternetLink"/>
                  <w:rFonts w:ascii="times new roman" w:hAnsi="times new roman"/>
                  <w:sz w:val="20"/>
                </w:rPr>
                <w:t>Condensed Balance Sheets</w:t>
              </w:r>
            </w:hyperlink>
          </w:p>
        </w:tc>
        <w:tc>
          <w:tcPr>
            <w:tcW w:w="597" w:type="dxa"/>
            <w:tcBorders/>
            <w:shd w:fill="CBDBD1" w:val="clear"/>
          </w:tcPr>
          <w:p>
            <w:pPr>
              <w:pStyle w:val="TableContents"/>
              <w:spacing w:before="0" w:after="0"/>
              <w:ind w:left="0" w:right="0" w:hanging="0"/>
              <w:jc w:val="right"/>
              <w:rPr/>
            </w:pPr>
            <w:hyperlink w:anchor="bs">
              <w:r>
                <w:rPr>
                  <w:rStyle w:val="InternetLink"/>
                  <w:rFonts w:ascii="times new roman" w:hAnsi="times new roman"/>
                  <w:sz w:val="20"/>
                </w:rPr>
                <w:t>4</w:t>
              </w:r>
            </w:hyperlink>
          </w:p>
        </w:tc>
      </w:tr>
      <w:tr>
        <w:trPr/>
        <w:tc>
          <w:tcPr>
            <w:tcW w:w="7567" w:type="dxa"/>
            <w:tcBorders/>
            <w:shd w:fill="FFFFFF" w:val="clear"/>
          </w:tcPr>
          <w:p>
            <w:pPr>
              <w:pStyle w:val="TableContents"/>
              <w:spacing w:before="0" w:after="0"/>
              <w:ind w:left="0" w:right="0" w:hanging="0"/>
              <w:jc w:val="left"/>
              <w:rPr/>
            </w:pPr>
            <w:r>
              <w:rPr/>
              <w:t>          </w:t>
            </w:r>
            <w:hyperlink w:anchor="sops">
              <w:r>
                <w:rPr>
                  <w:rStyle w:val="InternetLink"/>
                  <w:rFonts w:ascii="times new roman" w:hAnsi="times new roman"/>
                  <w:sz w:val="20"/>
                </w:rPr>
                <w:t>Condensed Statements of Operations</w:t>
              </w:r>
            </w:hyperlink>
          </w:p>
        </w:tc>
        <w:tc>
          <w:tcPr>
            <w:tcW w:w="597" w:type="dxa"/>
            <w:tcBorders/>
            <w:shd w:fill="FFFFFF" w:val="clear"/>
          </w:tcPr>
          <w:p>
            <w:pPr>
              <w:pStyle w:val="TableContents"/>
              <w:spacing w:before="0" w:after="0"/>
              <w:ind w:left="0" w:right="0" w:hanging="0"/>
              <w:jc w:val="right"/>
              <w:rPr/>
            </w:pPr>
            <w:hyperlink w:anchor="sops">
              <w:r>
                <w:rPr>
                  <w:rStyle w:val="InternetLink"/>
                  <w:rFonts w:ascii="times new roman" w:hAnsi="times new roman"/>
                  <w:sz w:val="20"/>
                </w:rPr>
                <w:t>5</w:t>
              </w:r>
            </w:hyperlink>
          </w:p>
        </w:tc>
      </w:tr>
      <w:tr>
        <w:trPr/>
        <w:tc>
          <w:tcPr>
            <w:tcW w:w="7567" w:type="dxa"/>
            <w:tcBorders/>
            <w:shd w:fill="CBDBD1" w:val="clear"/>
          </w:tcPr>
          <w:p>
            <w:pPr>
              <w:pStyle w:val="TableContents"/>
              <w:spacing w:before="0" w:after="0"/>
              <w:ind w:left="0" w:right="0" w:hanging="0"/>
              <w:jc w:val="left"/>
              <w:rPr/>
            </w:pPr>
            <w:r>
              <w:rPr/>
              <w:t>          </w:t>
            </w:r>
            <w:hyperlink w:anchor="cfs">
              <w:r>
                <w:rPr>
                  <w:rStyle w:val="InternetLink"/>
                  <w:rFonts w:ascii="times new roman" w:hAnsi="times new roman"/>
                  <w:sz w:val="20"/>
                </w:rPr>
                <w:t>Condensed Statements of Cash Flows</w:t>
              </w:r>
            </w:hyperlink>
          </w:p>
        </w:tc>
        <w:tc>
          <w:tcPr>
            <w:tcW w:w="597" w:type="dxa"/>
            <w:tcBorders/>
            <w:shd w:fill="CBDBD1" w:val="clear"/>
          </w:tcPr>
          <w:p>
            <w:pPr>
              <w:pStyle w:val="TableContents"/>
              <w:spacing w:before="0" w:after="0"/>
              <w:ind w:left="0" w:right="0" w:hanging="0"/>
              <w:jc w:val="right"/>
              <w:rPr/>
            </w:pPr>
            <w:hyperlink w:anchor="cfs">
              <w:r>
                <w:rPr>
                  <w:rStyle w:val="InternetLink"/>
                  <w:rFonts w:ascii="times new roman" w:hAnsi="times new roman"/>
                  <w:sz w:val="20"/>
                </w:rPr>
                <w:t>6</w:t>
              </w:r>
            </w:hyperlink>
          </w:p>
        </w:tc>
      </w:tr>
      <w:tr>
        <w:trPr/>
        <w:tc>
          <w:tcPr>
            <w:tcW w:w="7567" w:type="dxa"/>
            <w:tcBorders/>
            <w:shd w:fill="FFFFFF" w:val="clear"/>
          </w:tcPr>
          <w:p>
            <w:pPr>
              <w:pStyle w:val="TableContents"/>
              <w:spacing w:before="0" w:after="0"/>
              <w:ind w:left="0" w:right="0" w:hanging="0"/>
              <w:jc w:val="left"/>
              <w:rPr/>
            </w:pPr>
            <w:r>
              <w:rPr/>
              <w:t>          </w:t>
            </w:r>
            <w:hyperlink w:anchor="notes">
              <w:r>
                <w:rPr>
                  <w:rStyle w:val="InternetLink"/>
                  <w:rFonts w:ascii="times new roman" w:hAnsi="times new roman"/>
                  <w:sz w:val="20"/>
                </w:rPr>
                <w:t>Notes to Condensed Financial Statements</w:t>
              </w:r>
            </w:hyperlink>
          </w:p>
        </w:tc>
        <w:tc>
          <w:tcPr>
            <w:tcW w:w="597"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7</w:t>
              </w:r>
            </w:hyperlink>
          </w:p>
        </w:tc>
      </w:tr>
      <w:tr>
        <w:trPr/>
        <w:tc>
          <w:tcPr>
            <w:tcW w:w="7567" w:type="dxa"/>
            <w:tcBorders/>
            <w:shd w:fill="CBDBD1" w:val="clear"/>
          </w:tcPr>
          <w:p>
            <w:pPr>
              <w:pStyle w:val="TableContents"/>
              <w:spacing w:before="0" w:after="0"/>
              <w:ind w:left="0" w:right="0" w:hanging="0"/>
              <w:jc w:val="left"/>
              <w:rPr/>
            </w:pPr>
            <w:r>
              <w:rPr/>
              <w:t>     </w:t>
            </w:r>
            <w:hyperlink w:anchor="mdna">
              <w:r>
                <w:rPr>
                  <w:rStyle w:val="InternetLink"/>
                  <w:rFonts w:ascii="times new roman" w:hAnsi="times new roman"/>
                  <w:sz w:val="20"/>
                </w:rPr>
                <w:t>Management's Discussion and Analysis of Financial Condition and Results of Operations</w:t>
              </w:r>
            </w:hyperlink>
          </w:p>
        </w:tc>
        <w:tc>
          <w:tcPr>
            <w:tcW w:w="597" w:type="dxa"/>
            <w:tcBorders/>
            <w:shd w:fill="CBDBD1" w:val="clear"/>
          </w:tcPr>
          <w:p>
            <w:pPr>
              <w:pStyle w:val="TableContents"/>
              <w:spacing w:before="0" w:after="0"/>
              <w:ind w:left="0" w:right="0" w:hanging="0"/>
              <w:jc w:val="right"/>
              <w:rPr/>
            </w:pPr>
            <w:hyperlink w:anchor="mdna">
              <w:r>
                <w:rPr>
                  <w:rStyle w:val="InternetLink"/>
                  <w:rFonts w:ascii="times new roman" w:hAnsi="times new roman"/>
                  <w:sz w:val="20"/>
                </w:rPr>
                <w:t>10</w:t>
              </w:r>
            </w:hyperlink>
          </w:p>
        </w:tc>
      </w:tr>
      <w:tr>
        <w:trPr/>
        <w:tc>
          <w:tcPr>
            <w:tcW w:w="7567" w:type="dxa"/>
            <w:tcBorders/>
            <w:shd w:fill="FFFFFF" w:val="clear"/>
          </w:tcPr>
          <w:p>
            <w:pPr>
              <w:pStyle w:val="TableContents"/>
              <w:spacing w:before="0" w:after="0"/>
              <w:ind w:left="0" w:right="0" w:hanging="0"/>
              <w:jc w:val="left"/>
              <w:rPr/>
            </w:pPr>
            <w:r>
              <w:rPr/>
              <w:t>     </w:t>
            </w:r>
            <w:hyperlink w:anchor="cnp">
              <w:r>
                <w:rPr>
                  <w:rStyle w:val="InternetLink"/>
                  <w:rFonts w:ascii="times new roman" w:hAnsi="times new roman"/>
                  <w:sz w:val="20"/>
                </w:rPr>
                <w:t>Controls and Procedures</w:t>
              </w:r>
            </w:hyperlink>
          </w:p>
        </w:tc>
        <w:tc>
          <w:tcPr>
            <w:tcW w:w="597" w:type="dxa"/>
            <w:tcBorders/>
            <w:shd w:fill="FFFFFF" w:val="clear"/>
          </w:tcPr>
          <w:p>
            <w:pPr>
              <w:pStyle w:val="TableContents"/>
              <w:spacing w:before="0" w:after="0"/>
              <w:ind w:left="0" w:right="0" w:hanging="0"/>
              <w:jc w:val="right"/>
              <w:rPr/>
            </w:pPr>
            <w:hyperlink w:anchor="cnp">
              <w:r>
                <w:rPr>
                  <w:rStyle w:val="InternetLink"/>
                  <w:rFonts w:ascii="times new roman" w:hAnsi="times new roman"/>
                  <w:sz w:val="20"/>
                </w:rPr>
                <w:t>12</w:t>
              </w:r>
            </w:hyperlink>
          </w:p>
        </w:tc>
      </w:tr>
      <w:tr>
        <w:trPr/>
        <w:tc>
          <w:tcPr>
            <w:tcW w:w="7567" w:type="dxa"/>
            <w:tcBorders/>
            <w:shd w:fill="CBDBD1" w:val="clear"/>
          </w:tcPr>
          <w:p>
            <w:pPr>
              <w:pStyle w:val="TableContents"/>
              <w:spacing w:before="0" w:after="0"/>
              <w:ind w:left="0" w:right="0" w:hanging="0"/>
              <w:jc w:val="left"/>
              <w:rPr/>
            </w:pPr>
            <w:hyperlink w:anchor="p2">
              <w:r>
                <w:rPr>
                  <w:rStyle w:val="InternetLink"/>
                  <w:rFonts w:ascii="times new roman" w:hAnsi="times new roman"/>
                  <w:sz w:val="20"/>
                </w:rPr>
                <w:t>PART II – OTHER INFORMATION</w:t>
              </w:r>
            </w:hyperlink>
          </w:p>
        </w:tc>
        <w:tc>
          <w:tcPr>
            <w:tcW w:w="597" w:type="dxa"/>
            <w:tcBorders/>
            <w:shd w:fill="CBDBD1" w:val="clear"/>
          </w:tcPr>
          <w:p>
            <w:pPr>
              <w:pStyle w:val="TableContents"/>
              <w:spacing w:before="0" w:after="0"/>
              <w:ind w:left="0" w:right="0" w:hanging="0"/>
              <w:jc w:val="right"/>
              <w:rPr/>
            </w:pPr>
            <w:hyperlink w:anchor="p2">
              <w:r>
                <w:rPr>
                  <w:rStyle w:val="InternetLink"/>
                  <w:rFonts w:ascii="times new roman" w:hAnsi="times new roman"/>
                  <w:sz w:val="20"/>
                </w:rPr>
                <w:t>14</w:t>
              </w:r>
            </w:hyperlink>
          </w:p>
        </w:tc>
      </w:tr>
      <w:tr>
        <w:trPr/>
        <w:tc>
          <w:tcPr>
            <w:tcW w:w="7567" w:type="dxa"/>
            <w:tcBorders/>
            <w:shd w:fill="FFFFFF" w:val="clear"/>
          </w:tcPr>
          <w:p>
            <w:pPr>
              <w:pStyle w:val="TableContents"/>
              <w:spacing w:before="0" w:after="0"/>
              <w:ind w:left="0" w:right="0" w:hanging="0"/>
              <w:jc w:val="left"/>
              <w:rPr/>
            </w:pPr>
            <w:r>
              <w:rPr/>
              <w:t>     </w:t>
            </w:r>
            <w:hyperlink w:anchor="uregsec">
              <w:r>
                <w:rPr>
                  <w:rStyle w:val="InternetLink"/>
                  <w:rFonts w:ascii="times new roman" w:hAnsi="times new roman"/>
                  <w:sz w:val="20"/>
                </w:rPr>
                <w:t>Unregistered Sales of Equity Securities</w:t>
              </w:r>
            </w:hyperlink>
          </w:p>
        </w:tc>
        <w:tc>
          <w:tcPr>
            <w:tcW w:w="597" w:type="dxa"/>
            <w:tcBorders/>
            <w:shd w:fill="FFFFFF" w:val="clear"/>
          </w:tcPr>
          <w:p>
            <w:pPr>
              <w:pStyle w:val="TableContents"/>
              <w:spacing w:before="0" w:after="0"/>
              <w:ind w:left="0" w:right="0" w:hanging="0"/>
              <w:jc w:val="right"/>
              <w:rPr/>
            </w:pPr>
            <w:hyperlink w:anchor="uregsec">
              <w:r>
                <w:rPr>
                  <w:rStyle w:val="InternetLink"/>
                  <w:rFonts w:ascii="times new roman" w:hAnsi="times new roman"/>
                  <w:sz w:val="20"/>
                </w:rPr>
                <w:t>14</w:t>
              </w:r>
            </w:hyperlink>
          </w:p>
        </w:tc>
      </w:tr>
      <w:tr>
        <w:trPr/>
        <w:tc>
          <w:tcPr>
            <w:tcW w:w="7567" w:type="dxa"/>
            <w:tcBorders/>
            <w:shd w:fill="CBDBD1" w:val="clear"/>
          </w:tcPr>
          <w:p>
            <w:pPr>
              <w:pStyle w:val="TableContents"/>
              <w:spacing w:before="0" w:after="0"/>
              <w:ind w:left="0" w:right="0" w:hanging="0"/>
              <w:jc w:val="left"/>
              <w:rPr/>
            </w:pPr>
            <w:r>
              <w:rPr/>
              <w:t>     </w:t>
            </w:r>
            <w:hyperlink w:anchor="exh">
              <w:r>
                <w:rPr>
                  <w:rStyle w:val="InternetLink"/>
                  <w:rFonts w:ascii="times new roman" w:hAnsi="times new roman"/>
                  <w:sz w:val="20"/>
                </w:rPr>
                <w:t>Exhibits and Reports on Form 8-K</w:t>
              </w:r>
            </w:hyperlink>
          </w:p>
        </w:tc>
        <w:tc>
          <w:tcPr>
            <w:tcW w:w="597" w:type="dxa"/>
            <w:tcBorders/>
            <w:shd w:fill="CBDBD1" w:val="clear"/>
          </w:tcPr>
          <w:p>
            <w:pPr>
              <w:pStyle w:val="TableContents"/>
              <w:spacing w:before="0" w:after="0"/>
              <w:ind w:left="0" w:right="0" w:hanging="0"/>
              <w:jc w:val="right"/>
              <w:rPr/>
            </w:pPr>
            <w:hyperlink w:anchor="exh">
              <w:r>
                <w:rPr>
                  <w:rStyle w:val="InternetLink"/>
                  <w:rFonts w:ascii="times new roman" w:hAnsi="times new roman"/>
                  <w:sz w:val="20"/>
                </w:rPr>
                <w:t>14</w:t>
              </w:r>
            </w:hyperlink>
          </w:p>
        </w:tc>
      </w:tr>
      <w:tr>
        <w:trPr/>
        <w:tc>
          <w:tcPr>
            <w:tcW w:w="7567" w:type="dxa"/>
            <w:tcBorders/>
            <w:shd w:fill="FFFFFF" w:val="clear"/>
          </w:tcPr>
          <w:p>
            <w:pPr>
              <w:pStyle w:val="TableContents"/>
              <w:spacing w:before="0" w:after="0"/>
              <w:ind w:left="0" w:right="0" w:hanging="0"/>
              <w:jc w:val="left"/>
              <w:rPr/>
            </w:pPr>
            <w:hyperlink w:anchor="sigs">
              <w:r>
                <w:rPr>
                  <w:rStyle w:val="InternetLink"/>
                  <w:rFonts w:ascii="times new roman" w:hAnsi="times new roman"/>
                  <w:sz w:val="20"/>
                </w:rPr>
                <w:t>SIGNATURES</w:t>
              </w:r>
            </w:hyperlink>
          </w:p>
        </w:tc>
        <w:tc>
          <w:tcPr>
            <w:tcW w:w="597" w:type="dxa"/>
            <w:tcBorders/>
            <w:shd w:fill="FFFFFF" w:val="clear"/>
          </w:tcPr>
          <w:p>
            <w:pPr>
              <w:pStyle w:val="TableContents"/>
              <w:spacing w:before="0" w:after="0"/>
              <w:ind w:left="0" w:right="0" w:hanging="0"/>
              <w:jc w:val="right"/>
              <w:rPr/>
            </w:pPr>
            <w:hyperlink w:anchor="sigs">
              <w:r>
                <w:rPr>
                  <w:rStyle w:val="InternetLink"/>
                  <w:rFonts w:ascii="times new roman" w:hAnsi="times new roman"/>
                  <w:sz w:val="20"/>
                </w:rPr>
                <w:t>15</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 w:name="PN"/>
      <w:bookmarkEnd w:id="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1" w:name="p1"/>
      <w:bookmarkEnd w:id="11"/>
      <w:r>
        <w:rPr>
          <w:rFonts w:ascii="Times New Roman" w:hAnsi="Times New Roman"/>
          <w:b/>
          <w:sz w:val="20"/>
        </w:rPr>
        <w:t>PART I – FINANCIAL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 w:name="uanaud"/>
      <w:bookmarkEnd w:id="12"/>
      <w:r>
        <w:rPr>
          <w:rFonts w:ascii="Times New Roman" w:hAnsi="Times New Roman"/>
          <w:b/>
          <w:sz w:val="20"/>
        </w:rPr>
        <w:t>Unaudited Financial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accompanying unaudited financial statements have been prepared in accordance with generally accepted accounting principles for interim financial reporting and pursuant to the rules and regulations of the Securities and Exchange Commission ("Commission").  While these statements reflect all normal recurring adjustments which are, in the opinion of management, necessary for fair presentation of the results of the interim period, they do not include all of the information and footnotes required by generally accepted accounting principles for complete financial statements.  For further information, refer to the financial statements and footnotes thereto, which are included in the Company's Annual Report on Form 10-K, previously filed with the Commission on March 17,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2" w:name="bs"/>
      <w:bookmarkEnd w:id="22"/>
      <w:r>
        <w:rPr>
          <w:rFonts w:ascii="Times New Roman" w:hAnsi="Times New Roman"/>
          <w:b/>
          <w:sz w:val="20"/>
        </w:rPr>
        <w:t>Condensed Balance Sheets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6516"/>
        <w:gridCol w:w="102"/>
        <w:gridCol w:w="129"/>
        <w:gridCol w:w="975"/>
        <w:gridCol w:w="111"/>
        <w:gridCol w:w="102"/>
        <w:gridCol w:w="133"/>
        <w:gridCol w:w="994"/>
        <w:gridCol w:w="122"/>
      </w:tblGrid>
      <w:tr>
        <w:trPr/>
        <w:tc>
          <w:tcPr>
            <w:tcW w:w="6516" w:type="dxa"/>
            <w:tcBorders/>
            <w:shd w:fill="auto" w:val="clear"/>
            <w:vAlign w:val="bottom"/>
          </w:tcPr>
          <w:p>
            <w:pPr>
              <w:pStyle w:val="TableContents"/>
              <w:spacing w:before="0" w:after="0"/>
              <w:ind w:left="0" w:right="0" w:hanging="0"/>
              <w:jc w:val="left"/>
              <w:rPr/>
            </w:pPr>
            <w:r>
              <w:rPr/>
              <w:t>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Fixed assets, net of accumulated depreciation of $571</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and $464 as of 3/31/10 and 12/31/09, respectively</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713</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2" w:type="dxa"/>
            <w:tcBorders/>
            <w:shd w:fill="CBDBD1" w:val="clear"/>
            <w:vAlign w:val="bottom"/>
          </w:tcPr>
          <w:p>
            <w:pPr>
              <w:pStyle w:val="TableContents"/>
              <w:spacing w:before="0" w:after="283"/>
              <w:jc w:val="right"/>
              <w:rPr/>
            </w:pPr>
            <w:r>
              <w:rPr/>
              <w:t> </w:t>
            </w:r>
          </w:p>
        </w:tc>
        <w:tc>
          <w:tcPr>
            <w:tcW w:w="12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2"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3,655</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Note payable</w:t>
            </w:r>
          </w:p>
        </w:tc>
        <w:tc>
          <w:tcPr>
            <w:tcW w:w="102" w:type="dxa"/>
            <w:tcBorders/>
            <w:shd w:fill="CBDBD1" w:val="clear"/>
            <w:vAlign w:val="bottom"/>
          </w:tcPr>
          <w:p>
            <w:pPr>
              <w:pStyle w:val="TableContents"/>
              <w:spacing w:before="0" w:after="283"/>
              <w:jc w:val="right"/>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payable – related party</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4,185</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 $0.001 par value, 200,000,000 shares</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authorized, 5,848,707 shares issued and outstanding</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as of 3/31/10 and 12/31/09, respectively</w:t>
            </w:r>
          </w:p>
        </w:tc>
        <w:tc>
          <w:tcPr>
            <w:tcW w:w="102"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2" w:type="dxa"/>
            <w:tcBorders/>
            <w:shd w:fill="CBDBD1" w:val="clear"/>
            <w:vAlign w:val="bottom"/>
          </w:tcPr>
          <w:p>
            <w:pPr>
              <w:pStyle w:val="TableContents"/>
              <w:spacing w:before="0" w:after="283"/>
              <w:jc w:val="right"/>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45,686</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stockholders’ equity</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102" w:type="dxa"/>
            <w:tcBorders/>
            <w:shd w:fill="CBDBD1" w:val="clear"/>
            <w:vAlign w:val="bottom"/>
          </w:tcPr>
          <w:p>
            <w:pPr>
              <w:pStyle w:val="TableContents"/>
              <w:spacing w:before="0" w:after="283"/>
              <w:jc w:val="right"/>
              <w:rPr/>
            </w:pPr>
            <w:r>
              <w:rPr/>
              <w:t> </w:t>
            </w:r>
          </w:p>
        </w:tc>
        <w:tc>
          <w:tcPr>
            <w:tcW w:w="12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22"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2"/>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 w:name="PN2"/>
      <w:bookmarkEnd w:id="2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32" w:name="sops"/>
      <w:bookmarkEnd w:id="32"/>
      <w:r>
        <w:rPr>
          <w:rFonts w:ascii="Times New Roman" w:hAnsi="Times New Roman"/>
          <w:b/>
          <w:sz w:val="20"/>
        </w:rPr>
        <w:t>Condensed Statements of Operations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4669"/>
        <w:gridCol w:w="102"/>
        <w:gridCol w:w="149"/>
        <w:gridCol w:w="1143"/>
        <w:gridCol w:w="116"/>
        <w:gridCol w:w="102"/>
        <w:gridCol w:w="149"/>
        <w:gridCol w:w="1143"/>
        <w:gridCol w:w="116"/>
        <w:gridCol w:w="102"/>
        <w:gridCol w:w="214"/>
        <w:gridCol w:w="1043"/>
        <w:gridCol w:w="136"/>
      </w:tblGrid>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2010</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Expenses:</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expense</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Executive compensation</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 expenses</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17,082</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45,772</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expenses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2,774</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17,189</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51,343</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(2,774</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(17,189</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(51,343</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(2,804</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(17,219</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shares outstanding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42" w:name="cfs"/>
      <w:bookmarkEnd w:id="42"/>
      <w:r>
        <w:rPr>
          <w:rFonts w:ascii="Times New Roman" w:hAnsi="Times New Roman"/>
          <w:b/>
          <w:sz w:val="20"/>
        </w:rPr>
        <w:t>Condensed Statements of Cash Flows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5340"/>
        <w:gridCol w:w="98"/>
        <w:gridCol w:w="125"/>
        <w:gridCol w:w="891"/>
        <w:gridCol w:w="106"/>
        <w:gridCol w:w="98"/>
        <w:gridCol w:w="125"/>
        <w:gridCol w:w="935"/>
        <w:gridCol w:w="106"/>
        <w:gridCol w:w="98"/>
        <w:gridCol w:w="124"/>
        <w:gridCol w:w="1015"/>
        <w:gridCol w:w="123"/>
      </w:tblGrid>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three months ended</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2010</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98" w:type="dxa"/>
            <w:tcBorders/>
            <w:shd w:fill="auto" w:val="clear"/>
            <w:vAlign w:val="bottom"/>
          </w:tcPr>
          <w:p>
            <w:pPr>
              <w:pStyle w:val="TableContents"/>
              <w:spacing w:before="0" w:after="283"/>
              <w:rPr/>
            </w:pPr>
            <w:r>
              <w:rPr/>
              <w:t> </w:t>
            </w:r>
          </w:p>
        </w:tc>
        <w:tc>
          <w:tcPr>
            <w:tcW w:w="101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60"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(2,804</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(17,219</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cash (used) by operating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(Decrease) increase in accounts payable</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(848</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3,655</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operating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(17,960</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(42,237</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Purchase of fixed assets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investing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Proceeds from note payable</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 payable – related party</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Issuances of common stock</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41,935</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47,065</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2,988</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(17,960</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beginning</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ending</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3,852</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Income taxes paid</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transactions: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Number of shares issued for executive compensation</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23"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4"/>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4"/>
      <w:bookmarkEnd w:id="4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4"/>
      <w:bookmarkStart w:id="50" w:name="HD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 w:name="GLHDR4"/>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52" w:name="notes"/>
      <w:bookmarkEnd w:id="52"/>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 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interim financial statements included herein, presented in accordance with United States generally accepted accounting principles and stated in US dollars, have been prepared by the Company, without audit, pursuant to the rules and regulations of the Securities and Exchange Commission (SEC).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statements reflect all adjustments, consisting of normal recurring adjustments, which, in the opinion of management, are necessary for fair presentation of the information contained therein.  It is suggested that these condensed interim financial statements be read in conjunction with the financial statements of the Company for the year ended December 31, 2009 and notes thereto included in the Company's annual report on Form 10-K.  The Company follows the same accounting policies in the preparation of interim reports.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Results of operations for the interim periods are not indicative of annual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History and organization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organized October 6, 2005 (Date of Inception) under the laws of the State of Nevada, as Excaliber Enterprises, Ltd.  The Company is authorized to issue up to 200,000,000 shares of its common stock with a par value of $0.001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the Company will continue as a going concern.  As shown in the accompanying financial statements, the Company has incurred a net loss of ($51,463) for the period from October 6, 2005 (inception) to March 31, 2010, and had no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order to continue as a going concern, the Company will need, among other things, additional capital resources.  On August 19, 2009, the Company secured a Revolving Line of Credit for $20,000 with a non-related third-party entity, the terms of which are discussed in Note 4 – Debt and Interest Expense.  Nonetheless, the Company is significantly dependent upon its ability, and will continue to attempt, to secure equity and/or debt financing.  There are no assurances that the Company will be successful and without sufficient financing it would be unlikely for the Company to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5"/>
      <w:bookmarkEnd w:id="5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5"/>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4 – Debt and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22, 2008, the Company issued an aggregate of $500 in debt securities to a related party.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19, 2009, the Company entered into a Revolving Line of Credit Promissory Note with a non-related, third party entity for a total of $20,000.  Any principal balance borrowed against the Note accrues interest at a rate of 10% per year.  The entire unpaid balance and interest accrued thereupon are due on September 1, 2010.  As of March 31, 2010, $0 has been borrowed on this line of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12, 2010, a non-related third-party entity loaned the Company $30.  The loan bears no interest and is due upon demand.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 Stockholders’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authorized to issue 200,000,000 shares of its $0.001 par value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23, 2006, the Company issued 5,000,000 shares of its $0.001 par value common stock as founders’ shares to an officer and director in exchange for services rendered valued at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 2006, an officer and director of the Company donated cash in the amount of $100.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the Company issued 100,000 shares of its $0.001 par value common stock to one individual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12, 2008, the Company issued 748,707 shares of its par value common stock in a public offering for total gross cash proceeds in the amount of $37,435.  Total offering costs related to this issuance was $500.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4, 2010, an officer and director of the Company donated cash in the amount of $3,000.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there have been no other issuances of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6 – Warrants and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there were no warrants or options outstanding to acquire any additional shares of common stock.</w:t>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6"/>
      <w:bookmarkStart w:id="63" w:name="PGBRK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6"/>
      <w:bookmarkStart w:id="65" w:name="FT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6"/>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6"/>
      <w:bookmarkEnd w:id="6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6"/>
      <w:bookmarkStart w:id="69" w:name="HDR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6"/>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7 –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issued 5,000,000 shares of its par value common stock as founders’ shares to an officer and director in exchange for services rendered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issued 100,000 shares of its par value common stock to an affiliated shareholder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shareholder, officer and director of the Company donated cash to the Company in the amount of $100.  This amount has been donated to the Company, is not expected to be repaid and is considered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4, 2010, an officer and director of the Company donated cash in the amount of $3,000.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8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preparing these financial statements, the Company has evaluated events and transactions for potential recognition or disclosure through May 12, 2010</w:t>
      </w:r>
      <w:r>
        <w:rPr>
          <w:rFonts w:ascii="Times New Roman" w:hAnsi="Times New Roman"/>
          <w:i/>
          <w:sz w:val="20"/>
        </w:rPr>
        <w:t>,</w:t>
      </w:r>
      <w:r>
        <w:rPr>
          <w:rFonts w:ascii="Times New Roman" w:hAnsi="Times New Roman"/>
          <w:sz w:val="20"/>
        </w:rPr>
        <w:t xml:space="preserve"> the date the financial statements were issued.  As of this date, nothing has happened that requires disclosure.</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7"/>
      <w:bookmarkStart w:id="72" w:name="PGBRK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FTR7"/>
      <w:bookmarkStart w:id="74" w:name="FT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7"/>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 w:name="PN7"/>
      <w:bookmarkEnd w:id="7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7"/>
      <w:bookmarkStart w:id="78" w:name="HDR7"/>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7"/>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80" w:name="mdna"/>
      <w:bookmarkEnd w:id="80"/>
      <w:r>
        <w:rPr>
          <w:rFonts w:ascii="Times New Roman" w:hAnsi="Times New Roman"/>
          <w:b/>
          <w:sz w:val="20"/>
        </w:rPr>
        <w:t>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This Quarterly Report contains forward-looking statements about Excaliber Enterprises, Ltd.’s business, financial condition and prospects that reflect management’s assumptions and beliefs based on information currently available.  We can give no assurance that the expectations indicated by such forward-looking statements will be realized.  If any of our management’s assumptions should prove incorrect, or if any of the risks and uncertainties underlying such expectations should materialize, Excaliber Enterprise’s actual results may differ materially from those indicated by the 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key factors that are not within our control and that may have a direct bearing on operating results include, but are not limited to, acceptance of our services, our ability to expand our customer base, managements’ ability to raise capital in the future, the retention of key employees and changes in the regulation of our industry.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may be other risks and circumstances that management may be unable to predict.  When used in this Quarterly Report, words such as,  </w:t>
      </w:r>
      <w:r>
        <w:rPr>
          <w:rFonts w:ascii="Times New Roman" w:hAnsi="Times New Roman"/>
          <w:i/>
          <w:sz w:val="20"/>
        </w:rPr>
        <w:t xml:space="preserve">"believes,""expects," "intends,""plans,""anticipates,""estimates" </w:t>
      </w:r>
      <w:r>
        <w:rPr>
          <w:rFonts w:ascii="Times New Roman" w:hAnsi="Times New Roman"/>
          <w:sz w:val="20"/>
        </w:rPr>
        <w:t>and similar expressions are intended to identify forward-looking statements, although there may be certain forward-looking statements not accompanied by such expressions.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Discussion and Results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were incorporated in the State of Nevada on October 6, 2005.  Since our inception on October 6, 2005 to March 31, 2010, we did not generate any revenues and have incurred various general and administrative costs related to the costs of start-up operations and the execution of our business.  In prior periods, the state of the economy has impeded our ability to develop our operations.  However, our officers and directors have received informal interest in our gift baskets from prior personal contacts.  As a result, we are in the process of rethinking our operational approach, infrastructure and financing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incur operating expenses composed primarily of depreciation, executive compensation and general and administrative costs.  We recognize depreciation expense on our computer equipment.  Executive compensation is related specifically to the issuance of 5,000,000 shares of common stock to Stephanie Jones, an officer and director, for services rendered in June 2006.  General and administrative expenses are essentially the cost of doing business, and include: licenses; general office expenses and supplies; bank charges; website costs; and professional fees such as accounting, legal and other various business consulting fees.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During the three months ended March 31, 2010, total expenses were $2,774, consisting of depreciation expense of $107, related specifically to our computer equipment, and general and administrative costs in the amount of $2,667.  In the comparable three month period ended March 31, 2009, expenses were $17,189, comprised of $107 in depreciation expense and $17,082 of which was attributable to general and administrative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Since our inception, we have incurred aggregate operating expenses in the amount of $51,343, of which $571 is due to depreciation expense, $5,000 in executive compensation and general and administrative expenses in the amount of $45,772.  No development related expenses have been or will be paid to our affiliates.  We expect to continue to incur general and administrative expenses for the foreseeable future.  Although we cannot estimate the extent of these costs, we do anticipate expenses rising as we pursue our business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Provision of Income Taxes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Although we are incorporated in the State of Nevada, we do business in the State of Idaho, which charges a minimum tax payable for $30.  In the three months ended March 31, 2010 and 2009, we recorded a provision for income taxes of $30 and $30, respectively.  Since our inception to March 31, 2010, we recorded total provisions for income taxes of $120.</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 w:name="PGBRK8"/>
      <w:bookmarkStart w:id="82" w:name="PGBRK8"/>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FTR8"/>
      <w:bookmarkStart w:id="84" w:name="FTR8"/>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 w:name="GLFTR8"/>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 w:name="PN8"/>
      <w:bookmarkEnd w:id="8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HDR8"/>
      <w:bookmarkStart w:id="88" w:name="HDR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 w:name="GLHDR8"/>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a result of our lack of revenues and incurring ongoing expenses related to the implementation of our business, we have experienced net losses in all periods since our inception.  In the three month period ended March 31, 2010, our net loss totaled $2,804, compared to a net loss of $17,219 in the three month period ended March 31, 2009.  Since our inception, we have accumulated a deficit in the amount of $51,463.</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Liquidity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believes that our cash on hand as of March 31, 2010 in the amount of $3,544 is not sufficient to maintain our current minimal level of operations and to execute our planned objectives for the next approximately 12 months.  As of March 31, 2010, we owed $3,655 in accounts payable to vendors and service providers.  We also owe a total of $530 in notes payable, of which $500 is owed to a related party and $30 to a non-related entity.  All notes payable bear no interest and are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 ontinue as a going concern in the independent auditors’ report to the financial statements included in our 10-K.  If our business fails, our investors may face a complete loss of their investment.</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an effort to obtain working capital and funds in anticipation of pursuing our plan to establish our brand, which is set forth herein, on August 19, 2009, we entered into a Revolving Line of Credit with a non-related, third party entity for a total of $20,000.  Any principal balance borrowed against the Note accrues interest at a rate of 10% per year.  The entire unpaid balance and interest accrued thereupon are due on September 1, 2010.  As March 31, 2010, we have not drawn any funds on this line of credit and our balance owed is $0.</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Unfortunately, despite having secured a line of credit for $20,000, there can be guarantee that we can implement our new strategy or that our strategy will lead to revenues and positive cash flows.  If we are unable to generate cash flows with which to repay the line of credit, as well as our other existing liabilities, or if we require additional capital to maintain or expand our operations, we may need to sell additional equity or debt securities, which may be on terms unfavorable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Plan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During the second and third quarters of 2009, our officers and directors have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anticipation of the improving market for gift baskets and increased consumer and business spending, we have secured a revolving line of credit in the amount of $20,000.  We intend to use the funds from this line of credit to implement the following objectives: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Improve our website</w:t>
      </w:r>
      <w:r>
        <w:rPr>
          <w:rFonts w:ascii="Times New Roman" w:hAnsi="Times New Roman"/>
          <w:sz w:val="20"/>
        </w:rPr>
        <w:t>:  We have a website located at www.ExcaliberStore.com to serve as our primary method of attracting customers and generating 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 w:name="PGBRK9"/>
      <w:bookmarkStart w:id="91" w:name="PGBRK9"/>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FTR9"/>
      <w:bookmarkStart w:id="93" w:name="FTR9"/>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 w:name="GLFTR9"/>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 w:name="PN9"/>
      <w:bookmarkEnd w:id="9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HDR9"/>
      <w:bookmarkStart w:id="97" w:name="HDR9"/>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 w:name="GLHDR9"/>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Implement marketing and advertising</w:t>
      </w:r>
      <w:r>
        <w:rPr>
          <w:rFonts w:ascii="Times New Roman" w:hAnsi="Times New Roman"/>
          <w:sz w:val="20"/>
        </w:rPr>
        <w:t>:  Once we determine our approach to e-commerce, we will implement a web advertising campaign using 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expect to incur research and development costs.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own any significant plant or equipment that we would seek to sell in the near future.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have not paid for expenses on behalf of our directors.  Additionally, we believe that this fact shall not materially change.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have any material contracts and or affiliations with third parties.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are no known trends, events or uncertainties that have had or that are reasonably expected to have a material impact on our revenues from continuing operations.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99" w:name="cnp"/>
      <w:bookmarkEnd w:id="99"/>
      <w:r>
        <w:rPr>
          <w:rFonts w:ascii="Times New Roman" w:hAnsi="Times New Roman"/>
          <w:b/>
          <w:sz w:val="20"/>
        </w:rPr>
        <w:t>Controls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p>
      <w:pPr>
        <w:pStyle w:val="Normal"/>
        <w:spacing w:before="0" w:after="0"/>
        <w:rPr>
          <w:sz w:val="4"/>
          <w:szCs w:val="4"/>
        </w:rPr>
      </w:pPr>
      <w:r>
        <w:rPr>
          <w:sz w:val="4"/>
          <w:szCs w:val="4"/>
        </w:rPr>
      </w:r>
      <w:bookmarkStart w:id="100" w:name="hangingindent"/>
      <w:bookmarkStart w:id="101" w:name="hangingindent"/>
      <w:bookmarkEnd w:id="101"/>
    </w:p>
    <w:tbl>
      <w:tblPr>
        <w:tblW w:w="5000" w:type="pct"/>
        <w:jc w:val="center"/>
        <w:tblInd w:w="0" w:type="dxa"/>
        <w:tblCellMar>
          <w:top w:w="0" w:type="dxa"/>
          <w:left w:w="0" w:type="dxa"/>
          <w:bottom w:w="0" w:type="dxa"/>
          <w:right w:w="0" w:type="dxa"/>
        </w:tblCellMar>
      </w:tblPr>
      <w:tblGrid>
        <w:gridCol w:w="106"/>
        <w:gridCol w:w="160"/>
        <w:gridCol w:w="9939"/>
      </w:tblGrid>
      <w:tr>
        <w:trPr/>
        <w:tc>
          <w:tcPr>
            <w:tcW w:w="106"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102" w:name="hangingindent1"/>
      <w:bookmarkStart w:id="103" w:name="hangingindent1"/>
      <w:bookmarkEnd w:id="103"/>
    </w:p>
    <w:tbl>
      <w:tblPr>
        <w:tblW w:w="5000" w:type="pct"/>
        <w:jc w:val="center"/>
        <w:tblInd w:w="0" w:type="dxa"/>
        <w:tblCellMar>
          <w:top w:w="0" w:type="dxa"/>
          <w:left w:w="0" w:type="dxa"/>
          <w:bottom w:w="0" w:type="dxa"/>
          <w:right w:w="0" w:type="dxa"/>
        </w:tblCellMar>
      </w:tblPr>
      <w:tblGrid>
        <w:gridCol w:w="77"/>
        <w:gridCol w:w="138"/>
        <w:gridCol w:w="9990"/>
      </w:tblGrid>
      <w:tr>
        <w:trPr/>
        <w:tc>
          <w:tcPr>
            <w:tcW w:w="77"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04" w:name="hangingindent2"/>
      <w:bookmarkStart w:id="105" w:name="hangingindent2"/>
      <w:bookmarkEnd w:id="105"/>
    </w:p>
    <w:tbl>
      <w:tblPr>
        <w:tblW w:w="5000" w:type="pct"/>
        <w:jc w:val="center"/>
        <w:tblInd w:w="0" w:type="dxa"/>
        <w:tblCellMar>
          <w:top w:w="0" w:type="dxa"/>
          <w:left w:w="0" w:type="dxa"/>
          <w:bottom w:w="0" w:type="dxa"/>
          <w:right w:w="0" w:type="dxa"/>
        </w:tblCellMar>
      </w:tblPr>
      <w:tblGrid>
        <w:gridCol w:w="93"/>
        <w:gridCol w:w="151"/>
        <w:gridCol w:w="9961"/>
      </w:tblGrid>
      <w:tr>
        <w:trPr/>
        <w:tc>
          <w:tcPr>
            <w:tcW w:w="93" w:type="dxa"/>
            <w:tcBorders/>
            <w:shd w:fill="auto" w:val="clear"/>
          </w:tcPr>
          <w:p>
            <w:pPr>
              <w:pStyle w:val="TableContents"/>
              <w:spacing w:before="0" w:after="0"/>
              <w:rPr/>
            </w:pPr>
            <w:r>
              <w:rPr/>
              <w:t xml:space="preserve">  </w:t>
            </w:r>
          </w:p>
        </w:tc>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regarding prevention or timely detection of unauthorized acquisition, use or disposition of the company’s assets that could have a material effect on the financial statements.</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 w:name="PGBRK10"/>
      <w:bookmarkStart w:id="107" w:name="PGBRK10"/>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FTR10"/>
      <w:bookmarkStart w:id="109" w:name="FTR10"/>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 w:name="GLFTR10"/>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 w:name="PN10"/>
      <w:bookmarkEnd w:id="111"/>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HDR10"/>
      <w:bookmarkStart w:id="113" w:name="HDR1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 w:name="GLHDR10"/>
      <w:bookmarkEnd w:id="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Because of the inherent limitations of internal control, there is a risk that material misstatements may not be prevented or detected on a timely basis by internal control over financial reporti ng.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of March 31, 2010, management assessed the effectiveness of our internal control over financial reporting based on the criteria for effective internal control over financial reporting established in Internal Control--Integrated Framework issued by the Committee of Sponsoring Organizations of the Treadway Commission ("COSO") and SEC guidance on conducting such assessments.  Based on that evaluation, they concluded that, during the period covered by this report, such internal controls and procedures were not effective to detect the inappropriate application of US GAAP rules as more fully described below.  This was due to deficiencies that existed in the design or operation of our internal controls over financial reporting that adversely affected our internal controls and that may be considered to be material weakn esses.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matters involving internal controls and procedures that our management considered to be a material weakness under the standards of the Public Company Accounting Oversight Board was a lack of a functioning audit committee due to a lack of a majority of independent members and a lack of a majority of outside directors on our board of directors, resulting in ineffective oversight in the establishment and monitoring of required internal controls and procedures.  The aforementioned material weakness was identified by our Chief Executive Officer in connection with the review of our financial statements as of March 31, 2010.  Management believes that the lack of a functioning audit committee did not have an effect on our financial results.  However, management believes that the lack of a functioning audit co mmittee and the lack of a majority of outside directors on our board of directors results in ineffective oversight in the establishment and monitoring of required internal controls and procedures, which could result in a material misstatement in our financial statements in future periods.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Remediation Initiatives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an effort to remediate the identified material weakness and enhance our internal controls, we plan to establish a formal audit committee of the Board of Directors.  We are also seeking an at least one additional person to serve as an outside Director, as well as sit on the audit committee, thereby providing oversight in the establishment and monitoring of required internal controls and procedures such as reviewing and approving estimates and assumptions made by management when funds are available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controls over financial reporting</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was no change in our internal controls over financial reporting that occurred during the period covered by this report, which has materially affected, or is reasonably likely to materially affect, our internal controls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11"/>
      <w:bookmarkStart w:id="116" w:name="PGBRK11"/>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11"/>
      <w:bookmarkStart w:id="118" w:name="FTR1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11"/>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11"/>
      <w:bookmarkEnd w:id="120"/>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11"/>
      <w:bookmarkStart w:id="122" w:name="HDR11"/>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11"/>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24" w:name="p2"/>
      <w:bookmarkEnd w:id="124"/>
      <w:r>
        <w:rPr>
          <w:rFonts w:ascii="Times New Roman" w:hAnsi="Times New Roman"/>
          <w:b/>
          <w:sz w:val="20"/>
        </w:rPr>
        <w:t>PART II – OTHER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5" w:name="uregsec"/>
      <w:bookmarkEnd w:id="125"/>
      <w:r>
        <w:rPr>
          <w:rFonts w:ascii="Times New Roman" w:hAnsi="Times New Roman"/>
          <w:b/>
          <w:sz w:val="20"/>
        </w:rPr>
        <w:t>Unregistered Sales of Equity Securities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On September 22, 2006, we issued 5,000,000 shares of our common stock to Stephanie Y.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 e resultantly been expensed and recorded as a contribution to capital.  At the time of the issuance, Mrs. Jones had fair access to and was in possession of all available material information about our company, as is the President and a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On September 25, 2006, we sold 100,000 shares of our common stock to Nicole Jones, sister-in-law of our founding shareholder, Stephanie Jones.  The shares were issued for total cash in the amount of $5,000.  The shares bear a restrictive transfer legend.  At the time of the issuance, Mrs. Nicole Jones had fair access to and was in possession of all available material information about our company, as she is the sister-in-law of the president and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6" w:name="exh"/>
      <w:bookmarkEnd w:id="126"/>
      <w:r>
        <w:rPr>
          <w:rFonts w:ascii="Times New Roman" w:hAnsi="Times New Roman"/>
          <w:b/>
          <w:sz w:val="20"/>
        </w:rPr>
        <w:t>Exhibits and Reports on Form 8-K</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94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and/or Identification of Exhibit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Articles of Incorporation &amp; By-Laws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Articles of Incorporation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By-Laws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Line of Credit Loan Agreement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Stephanie Y. Jones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Matthew L. Jones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under Section 906 of the Sarbanes-Oxley Act (18 U.S.C. Section 1350)</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0205" w:type="dxa"/>
            <w:gridSpan w:val="2"/>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Incorporated by reference herein filed as exhibits to the Company’s Registration Statement on Form SB-2 previously filed with the SEC on September 11, 2007, and subsequent amendments made thereto.</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 w:name="PGBRK12"/>
      <w:bookmarkStart w:id="128" w:name="PGBRK12"/>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FTR12"/>
      <w:bookmarkStart w:id="130" w:name="FTR12"/>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 w:name="GLFTR12"/>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 w:name="PN12"/>
      <w:bookmarkEnd w:id="13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HDR12"/>
      <w:bookmarkStart w:id="134" w:name="HDR12"/>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 w:name="GLHDR12"/>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36" w:name="sigs"/>
      <w:bookmarkEnd w:id="136"/>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Exchange Act of 1934, the Registrant has duly caused this report to be signed on its behalf by the undersigned, thereunto duly authorized.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721"/>
        <w:gridCol w:w="2721"/>
        <w:gridCol w:w="2722"/>
      </w:tblGrid>
      <w:tr>
        <w:trPr/>
        <w:tc>
          <w:tcPr>
            <w:tcW w:w="8164" w:type="dxa"/>
            <w:gridSpan w:val="3"/>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EXCALIBER ENTERPRISES, LTD.</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w:t>
            </w:r>
          </w:p>
        </w:tc>
      </w:tr>
      <w:tr>
        <w:trPr/>
        <w:tc>
          <w:tcPr>
            <w:tcW w:w="8164" w:type="dxa"/>
            <w:gridSpan w:val="3"/>
            <w:tcBorders/>
            <w:shd w:fill="auto" w:val="clear"/>
          </w:tcPr>
          <w:p>
            <w:pPr>
              <w:pStyle w:val="TableContents"/>
              <w:spacing w:before="0" w:after="283"/>
              <w:rPr/>
            </w:pPr>
            <w:r>
              <w:rPr/>
              <w:t xml:space="preserve">  </w:t>
            </w:r>
          </w:p>
        </w:tc>
      </w:tr>
      <w:tr>
        <w:trPr/>
        <w:tc>
          <w:tcPr>
            <w:tcW w:w="272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272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272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2721" w:type="dxa"/>
            <w:tcBorders/>
            <w:shd w:fill="auto" w:val="clear"/>
          </w:tcPr>
          <w:p>
            <w:pPr>
              <w:pStyle w:val="TableContents"/>
              <w:spacing w:before="0" w:after="283"/>
              <w:rPr/>
            </w:pPr>
            <w:r>
              <w:rPr/>
              <w:t xml:space="preserve">  </w:t>
            </w:r>
          </w:p>
        </w:tc>
        <w:tc>
          <w:tcPr>
            <w:tcW w:w="2721" w:type="dxa"/>
            <w:tcBorders/>
            <w:shd w:fill="auto" w:val="clear"/>
          </w:tcPr>
          <w:p>
            <w:pPr>
              <w:pStyle w:val="TableContents"/>
              <w:spacing w:before="0" w:after="283"/>
              <w:rPr/>
            </w:pPr>
            <w:r>
              <w:rPr/>
              <w:t xml:space="preserve">  </w:t>
            </w:r>
          </w:p>
        </w:tc>
        <w:tc>
          <w:tcPr>
            <w:tcW w:w="2722" w:type="dxa"/>
            <w:tcBorders/>
            <w:shd w:fill="auto" w:val="clear"/>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President and</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12,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Executive Officer</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283"/>
              <w:rPr/>
            </w:pPr>
            <w:r>
              <w:rPr/>
              <w:t xml:space="preserve">  </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12,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283"/>
              <w:rPr/>
            </w:pPr>
            <w:r>
              <w:rPr/>
              <w:t xml:space="preserve">  </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Accounting Officer</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12,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13"/>
      <w:bookmarkStart w:id="138" w:name="PGBRK13"/>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FTR13"/>
      <w:bookmarkStart w:id="140" w:name="FTR13"/>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 w:name="GLFTR13"/>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 w:name="PN13"/>
      <w:bookmarkEnd w:id="142"/>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HDR13"/>
      <w:bookmarkStart w:id="144" w:name="HDR13"/>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 w:name="GLHDR13"/>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bookmarkStart w:id="146" w:name="excb_31-1.htm"/>
      <w:bookmarkStart w:id="147" w:name="ksexcb_311"/>
      <w:bookmarkStart w:id="148" w:name="excb_31-1.htm"/>
      <w:bookmarkStart w:id="149" w:name="ksexcb_311"/>
      <w:bookmarkEnd w:id="148"/>
      <w:bookmarkEnd w:id="149"/>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Stephanie Y.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50" w:name="hangingindent3"/>
      <w:bookmarkStart w:id="151" w:name="hangingindent3"/>
      <w:bookmarkEnd w:id="151"/>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2" w:name="hangingindent4"/>
      <w:bookmarkStart w:id="153" w:name="hangingindent4"/>
      <w:bookmarkEnd w:id="153"/>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54" w:name="hangingindent5"/>
      <w:bookmarkStart w:id="155" w:name="hangingindent5"/>
      <w:bookmarkEnd w:id="155"/>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56" w:name="b.31.3"/>
            <w:bookmarkEnd w:id="156"/>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57" w:name="hangingindent6"/>
      <w:bookmarkStart w:id="158" w:name="hangingindent6"/>
      <w:bookmarkEnd w:id="158"/>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59" w:name="hangingindent7"/>
      <w:bookmarkStart w:id="160" w:name="hangingindent7"/>
      <w:bookmarkEnd w:id="160"/>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1" w:name="hangingindent8"/>
      <w:bookmarkStart w:id="162" w:name="hangingindent8"/>
      <w:bookmarkEnd w:id="162"/>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63" w:name="hangingindent9"/>
      <w:bookmarkStart w:id="164" w:name="hangingindent9"/>
      <w:bookmarkEnd w:id="164"/>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5" w:name="hangingindent10"/>
      <w:bookmarkStart w:id="166" w:name="hangingindent10"/>
      <w:bookmarkEnd w:id="166"/>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7" w:name="hangingindent11"/>
      <w:bookmarkStart w:id="168" w:name="hangingindent11"/>
      <w:bookmarkEnd w:id="168"/>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69" w:name="hangingindent12"/>
      <w:bookmarkStart w:id="170" w:name="hangingindent12"/>
      <w:bookmarkEnd w:id="170"/>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71" w:name="hangingindent13"/>
      <w:bookmarkStart w:id="172" w:name="hangingindent13"/>
      <w:bookmarkEnd w:id="172"/>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May 12, 2010</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both"/>
        <w:rPr/>
      </w:pPr>
      <w:r>
        <w:rPr/>
        <w:t>     </w:t>
      </w:r>
      <w:r>
        <w:rPr>
          <w:rFonts w:ascii="Times New Roman" w:hAnsi="Times New Roman"/>
          <w:sz w:val="20"/>
        </w:rPr>
        <w:t>Stephanie Y. Jones</w:t>
      </w:r>
    </w:p>
    <w:p>
      <w:pPr>
        <w:pStyle w:val="TextBody"/>
        <w:spacing w:before="0" w:after="0"/>
        <w:ind w:left="0" w:right="0" w:hanging="0"/>
        <w:jc w:val="both"/>
        <w:rPr/>
      </w:pPr>
      <w:r>
        <w:rPr/>
        <w:t>     </w:t>
      </w:r>
      <w:r>
        <w:rPr>
          <w:rFonts w:ascii="Times New Roman" w:hAnsi="Times New Roman"/>
          <w:sz w:val="20"/>
        </w:rPr>
        <w:t>President and CEO</w:t>
      </w:r>
    </w:p>
    <w:p>
      <w:pPr>
        <w:pStyle w:val="TextBody"/>
        <w:spacing w:before="0" w:after="0"/>
        <w:ind w:left="0" w:right="0" w:hanging="0"/>
        <w:rPr/>
      </w:pPr>
      <w:r>
        <w:rPr/>
      </w:r>
    </w:p>
    <w:p>
      <w:pPr>
        <w:pStyle w:val="TextBody"/>
        <w:rPr/>
      </w:pPr>
      <w:r>
        <w:rPr/>
      </w:r>
      <w:r>
        <w:br w:type="page"/>
      </w:r>
    </w:p>
    <w:p>
      <w:pPr>
        <w:pStyle w:val="TextBody"/>
        <w:spacing w:before="0" w:after="0"/>
        <w:rPr/>
      </w:pPr>
      <w:r>
        <w:rPr/>
      </w:r>
      <w:bookmarkStart w:id="173" w:name="excb_ex31-2.htm"/>
      <w:bookmarkStart w:id="174" w:name="ksexcb_ex312"/>
      <w:bookmarkStart w:id="175" w:name="excb_ex31-2.htm"/>
      <w:bookmarkStart w:id="176" w:name="ksexcb_ex312"/>
      <w:bookmarkEnd w:id="175"/>
      <w:bookmarkEnd w:id="176"/>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Matthew L.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77" w:name="hangingindent14"/>
      <w:bookmarkStart w:id="178" w:name="hangingindent14"/>
      <w:bookmarkEnd w:id="178"/>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79" w:name="hangingindent15"/>
      <w:bookmarkStart w:id="180" w:name="hangingindent15"/>
      <w:bookmarkEnd w:id="180"/>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81" w:name="hangingindent16"/>
      <w:bookmarkStart w:id="182" w:name="hangingindent16"/>
      <w:bookmarkEnd w:id="182"/>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83" w:name="b.31.31"/>
            <w:bookmarkEnd w:id="183"/>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84" w:name="hangingindent17"/>
      <w:bookmarkStart w:id="185" w:name="hangingindent17"/>
      <w:bookmarkEnd w:id="185"/>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86" w:name="hangingindent18"/>
      <w:bookmarkStart w:id="187" w:name="hangingindent18"/>
      <w:bookmarkEnd w:id="187"/>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8" w:name="hangingindent19"/>
      <w:bookmarkStart w:id="189" w:name="hangingindent19"/>
      <w:bookmarkEnd w:id="189"/>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90" w:name="hangingindent20"/>
      <w:bookmarkStart w:id="191" w:name="hangingindent20"/>
      <w:bookmarkEnd w:id="191"/>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2" w:name="hangingindent21"/>
      <w:bookmarkStart w:id="193" w:name="hangingindent21"/>
      <w:bookmarkEnd w:id="193"/>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4" w:name="hangingindent22"/>
      <w:bookmarkStart w:id="195" w:name="hangingindent22"/>
      <w:bookmarkEnd w:id="195"/>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96" w:name="hangingindent23"/>
      <w:bookmarkStart w:id="197" w:name="hangingindent23"/>
      <w:bookmarkEnd w:id="197"/>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8" w:name="hangingindent24"/>
      <w:bookmarkStart w:id="199" w:name="hangingindent24"/>
      <w:bookmarkEnd w:id="199"/>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May 12, 2010</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both"/>
        <w:rPr/>
      </w:pPr>
      <w:r>
        <w:rPr/>
        <w:t>     </w:t>
      </w:r>
      <w:r>
        <w:rPr>
          <w:rFonts w:ascii="Times New Roman" w:hAnsi="Times New Roman"/>
          <w:sz w:val="20"/>
        </w:rPr>
        <w:t>Matthew L. Jones</w:t>
      </w:r>
    </w:p>
    <w:p>
      <w:pPr>
        <w:pStyle w:val="TextBody"/>
        <w:spacing w:before="0" w:after="0"/>
        <w:ind w:left="0" w:right="0" w:hanging="0"/>
        <w:jc w:val="both"/>
        <w:rPr/>
      </w:pPr>
      <w:r>
        <w:rPr/>
        <w:t>     </w:t>
      </w:r>
      <w:r>
        <w:rPr>
          <w:rFonts w:ascii="Times New Roman" w:hAnsi="Times New Roman"/>
          <w:sz w:val="20"/>
        </w:rPr>
        <w:t>President and CEO</w:t>
      </w:r>
    </w:p>
    <w:p>
      <w:pPr>
        <w:pStyle w:val="TextBody"/>
        <w:spacing w:before="0" w:after="0"/>
        <w:ind w:left="0" w:right="0" w:hanging="0"/>
        <w:rPr/>
      </w:pPr>
      <w:r>
        <w:rPr/>
      </w:r>
    </w:p>
    <w:p>
      <w:pPr>
        <w:pStyle w:val="TextBody"/>
        <w:rPr/>
      </w:pPr>
      <w:r>
        <w:rPr/>
      </w:r>
      <w:r>
        <w:br w:type="page"/>
      </w:r>
    </w:p>
    <w:p>
      <w:pPr>
        <w:pStyle w:val="TextBody"/>
        <w:spacing w:before="0" w:after="0"/>
        <w:ind w:left="0" w:right="0" w:hanging="0"/>
        <w:jc w:val="center"/>
        <w:rPr>
          <w:rFonts w:ascii="Times New Roman" w:hAnsi="Times New Roman"/>
          <w:sz w:val="20"/>
        </w:rPr>
      </w:pPr>
      <w:bookmarkStart w:id="200" w:name="excb_ex32.htm"/>
      <w:bookmarkStart w:id="201" w:name="ksexcb_ex32"/>
      <w:bookmarkEnd w:id="200"/>
      <w:bookmarkEnd w:id="201"/>
      <w:r>
        <w:rPr>
          <w:rFonts w:ascii="Times New Roman" w:hAnsi="Times New Roman"/>
          <w:sz w:val="20"/>
        </w:rPr>
        <w:t>CERTIFICATION PURSUANT TO</w:t>
      </w:r>
    </w:p>
    <w:p>
      <w:pPr>
        <w:pStyle w:val="TextBody"/>
        <w:spacing w:before="0" w:after="0"/>
        <w:ind w:left="0" w:right="0" w:hanging="0"/>
        <w:jc w:val="center"/>
        <w:rPr>
          <w:rFonts w:ascii="Times New Roman" w:hAnsi="Times New Roman"/>
          <w:sz w:val="20"/>
        </w:rPr>
      </w:pPr>
      <w:r>
        <w:rPr>
          <w:rFonts w:ascii="Times New Roman" w:hAnsi="Times New Roman"/>
          <w:sz w:val="20"/>
        </w:rPr>
        <w:t>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w:t>
      </w:r>
    </w:p>
    <w:p>
      <w:pPr>
        <w:pStyle w:val="TextBody"/>
        <w:spacing w:before="0" w:after="0"/>
        <w:ind w:left="0" w:right="0" w:hanging="0"/>
        <w:jc w:val="center"/>
        <w:rPr>
          <w:rFonts w:ascii="Times New Roman" w:hAnsi="Times New Roman"/>
          <w:sz w:val="20"/>
        </w:rPr>
      </w:pPr>
      <w:r>
        <w:rPr>
          <w:rFonts w:ascii="Times New Roman" w:hAnsi="Times New Roman"/>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quarterly report of Excaliber Enterprises, Ltd. (the "Company") on Form 10-Q for the three months ended March 31, 2010,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our knowledge, pursuant to 18 U.S.C. Section 1350, as adopted pursuant to Section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202" w:name="hangingindent25"/>
      <w:bookmarkStart w:id="203" w:name="hangingindent25"/>
      <w:bookmarkEnd w:id="203"/>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04" w:name="hangingindent26"/>
      <w:bookmarkStart w:id="205" w:name="hangingindent26"/>
      <w:bookmarkEnd w:id="205"/>
    </w:p>
    <w:tbl>
      <w:tblPr>
        <w:tblW w:w="5000" w:type="pct"/>
        <w:jc w:val="center"/>
        <w:tblInd w:w="0" w:type="dxa"/>
        <w:tblCellMar>
          <w:top w:w="0" w:type="dxa"/>
          <w:left w:w="0" w:type="dxa"/>
          <w:bottom w:w="0" w:type="dxa"/>
          <w:right w:w="0" w:type="dxa"/>
        </w:tblCellMar>
      </w:tblPr>
      <w:tblGrid>
        <w:gridCol w:w="108"/>
        <w:gridCol w:w="234"/>
        <w:gridCol w:w="9863"/>
      </w:tblGrid>
      <w:tr>
        <w:trPr/>
        <w:tc>
          <w:tcPr>
            <w:tcW w:w="108"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left"/>
        <w:rPr/>
      </w:pPr>
      <w:r>
        <w:rPr/>
        <w:t>     </w:t>
      </w:r>
      <w:r>
        <w:rPr>
          <w:rFonts w:ascii="Times New Roman" w:hAnsi="Times New Roman"/>
          <w:sz w:val="20"/>
        </w:rPr>
        <w:t>Stephanie Y. Jones</w:t>
      </w:r>
    </w:p>
    <w:p>
      <w:pPr>
        <w:pStyle w:val="TextBody"/>
        <w:spacing w:before="0" w:after="0"/>
        <w:ind w:left="0" w:right="0" w:hanging="0"/>
        <w:jc w:val="left"/>
        <w:rPr/>
      </w:pPr>
      <w:r>
        <w:rPr/>
        <w:t>     </w:t>
      </w:r>
      <w:r>
        <w:rPr>
          <w:rFonts w:ascii="Times New Roman" w:hAnsi="Times New Roman"/>
          <w:sz w:val="20"/>
        </w:rPr>
        <w:t>Chief Executive Officer</w:t>
      </w:r>
    </w:p>
    <w:p>
      <w:pPr>
        <w:pStyle w:val="TextBody"/>
        <w:spacing w:before="0" w:after="0"/>
        <w:ind w:left="0" w:right="0" w:hanging="0"/>
        <w:jc w:val="left"/>
        <w:rPr/>
      </w:pPr>
      <w:r>
        <w:rPr/>
        <w:t>     </w:t>
      </w:r>
      <w:r>
        <w:rPr>
          <w:rFonts w:ascii="Times New Roman" w:hAnsi="Times New Roman"/>
          <w:sz w:val="20"/>
        </w:rPr>
        <w:t>May 12,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w:t>
      </w:r>
    </w:p>
    <w:p>
      <w:pPr>
        <w:pStyle w:val="TextBody"/>
        <w:spacing w:before="0" w:after="0"/>
        <w:ind w:left="0" w:right="0" w:hanging="0"/>
        <w:jc w:val="left"/>
        <w:rPr/>
      </w:pPr>
      <w:r>
        <w:rPr/>
        <w:t>     </w:t>
      </w:r>
      <w:r>
        <w:rPr>
          <w:rFonts w:ascii="Times New Roman" w:hAnsi="Times New Roman"/>
          <w:sz w:val="20"/>
        </w:rPr>
        <w:t>May 12, 2010</w:t>
      </w:r>
    </w:p>
    <w:p>
      <w:pPr>
        <w:pStyle w:val="TextBody"/>
        <w:spacing w:before="0" w:after="0"/>
        <w:ind w:left="0" w:right="0" w:hanging="0"/>
        <w:rPr/>
      </w:pPr>
      <w:r>
        <w:rPr/>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6417</Words>
  <CharactersWithSpaces>41852</CharactersWithSpaces>
  <Paragraphs>1388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