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i/>
          <w:color w:val="000000"/>
          <w:sz w:val="23"/>
        </w:rPr>
      </w:pPr>
      <w:bookmarkStart w:id="0" w:name="filename1.htm"/>
      <w:bookmarkStart w:id="1" w:name="ksfilename1"/>
      <w:bookmarkEnd w:id="0"/>
      <w:bookmarkEnd w:id="1"/>
      <w:r>
        <w:rPr>
          <w:rFonts w:ascii="Times New Roman" w:hAnsi="Times New Roman"/>
          <w:b/>
          <w:i/>
          <w:color w:val="000000"/>
          <w:sz w:val="23"/>
        </w:rPr>
        <w:t>HART &amp; TRINEN, LLP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ATTORNEYS AT LAW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1624 Washington Street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Denver, CO  80203</w:t>
      </w:r>
    </w:p>
    <w:p>
      <w:pPr>
        <w:pStyle w:val="TextBody"/>
        <w:spacing w:before="0" w:after="0"/>
        <w:ind w:left="0" w:right="0" w:firstLine="4080"/>
        <w:jc w:val="both"/>
        <w:rPr>
          <w:rFonts w:ascii="Times New Roman" w:hAnsi="Times New Roman"/>
          <w:color w:val="000000"/>
          <w:sz w:val="17"/>
        </w:rPr>
      </w:pPr>
      <w:r>
        <w:rPr>
          <w:rFonts w:ascii="Times New Roman" w:hAnsi="Times New Roman"/>
          <w:color w:val="000000"/>
          <w:sz w:val="17"/>
        </w:rPr>
        <w:t>(303) 839-0061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2686050" cy="108585"/>
                <wp:effectExtent l="0" t="0" r="0" b="0"/>
                <wp:wrapSquare wrapText="largest"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0858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William T. Hart, P.C.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11.5pt;height:8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15"/>
                        </w:rPr>
                      </w:pPr>
                      <w:r>
                        <w:rPr>
                          <w:sz w:val="15"/>
                        </w:rPr>
                        <w:t>William T. Hart, P.C.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705225" cy="133985"/>
                <wp:effectExtent l="0" t="0" r="0" b="0"/>
                <wp:wrapSquare wrapText="largest"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3398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91.75pt;height:10.55pt;mso-wrap-distance-left:0pt;mso-wrap-distance-right:0pt;mso-wrap-distance-top:0pt;mso-wrap-distance-bottom:0pt;margin-top:0pt;mso-position-vertical:top;mso-position-vertical-relative:text;margin-left:211.5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________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219450" cy="133985"/>
                <wp:effectExtent l="0" t="0" r="0" b="0"/>
                <wp:wrapSquare wrapText="largest"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13398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Email</w:t>
                            </w:r>
                            <w:r>
                              <w:rPr>
                                <w:b w:val="false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sz w:val="15"/>
                              </w:rPr>
                              <w:t> harttrinen@aol.com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53.5pt;height:10.55pt;mso-wrap-distance-left:0pt;mso-wrap-distance-right:0pt;mso-wrap-distance-top:0pt;mso-wrap-distance-bottom:0pt;margin-top:0pt;mso-position-vertical:top;mso-position-vertical-relative:text;margin-left:211.5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jc w:val="right"/>
                        <w:rPr>
                          <w:sz w:val="15"/>
                        </w:rPr>
                      </w:pPr>
                      <w:r>
                        <w:rPr>
                          <w:sz w:val="15"/>
                        </w:rPr>
                        <w:t>Email</w:t>
                      </w:r>
                      <w:r>
                        <w:rPr>
                          <w:b w:val="false"/>
                          <w:sz w:val="18"/>
                        </w:rPr>
                        <w:t xml:space="preserve">: </w:t>
                      </w:r>
                      <w:r>
                        <w:rPr>
                          <w:sz w:val="15"/>
                        </w:rPr>
                        <w:t> harttrinen@aol.com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6400800" cy="108585"/>
                <wp:effectExtent l="0" t="0" r="0" b="0"/>
                <wp:wrapSquare wrapText="largest"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0858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Donald T. Trinen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04pt;height:8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15"/>
                        </w:rPr>
                      </w:pPr>
                      <w:r>
                        <w:rPr>
                          <w:sz w:val="15"/>
                        </w:rPr>
                        <w:t>Donald T. Trinen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5657850" cy="108585"/>
                <wp:effectExtent l="0" t="0" r="0" b="0"/>
                <wp:wrapSquare wrapText="largest"/>
                <wp:docPr id="5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10858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 xml:space="preserve">Facsimile:  (303) 839-5414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45.5pt;height:8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jc w:val="right"/>
                        <w:rPr>
                          <w:sz w:val="15"/>
                        </w:rPr>
                      </w:pPr>
                      <w:r>
                        <w:rPr>
                          <w:sz w:val="15"/>
                        </w:rPr>
                        <w:t xml:space="preserve">Facsimile:  (303) 839-5414 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15"/>
        </w:rPr>
      </w:pPr>
      <w:r>
        <w:rPr>
          <w:rFonts w:ascii="Times New Roman" w:hAnsi="Times New Roman"/>
          <w:color w:val="000000"/>
          <w:sz w:val="15"/>
        </w:rPr>
        <w:t>Will Hart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October 25, 2011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Laura Crotty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and Exchange Commission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100 F Street, NE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Washington, DC 20549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VistaGen Therapeutics, Inc. </w: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45415"/>
                <wp:effectExtent l="0" t="0" r="0" b="0"/>
                <wp:wrapSquare wrapText="largest"/>
                <wp:docPr id="6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Re: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72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This office represents VistaGen Therapeutics, Inc. The following are the Companys responses to comments 3, 4, 5, 6, 7 and 8 received from the staff by letter dated September 8, 2011. 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  <w:u w:val="single"/>
        </w:rPr>
      </w:pPr>
      <w:r>
        <w:rPr>
          <w:rFonts w:ascii="Times New Roman" w:hAnsi="Times New Roman"/>
          <w:color w:val="000000"/>
          <w:sz w:val="20"/>
          <w:u w:val="single"/>
        </w:rPr>
        <w:t>Response</w: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45415"/>
                <wp:effectExtent l="0" t="0" r="0" b="0"/>
                <wp:wrapSquare wrapText="largest"/>
                <wp:docPr id="7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Comment #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Comment #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Since the Company is a smaller reporting company, the inclusion of any risk factors in the 8-K report was voluntary.</w: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75260"/>
                <wp:effectExtent l="0" t="0" r="0" b="0"/>
                <wp:wrapSquare wrapText="largest"/>
                <wp:docPr id="8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  </w:t>
                            </w: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  </w:t>
                      </w:r>
                      <w:r>
                        <w:rPr>
                          <w:sz w:val="20"/>
                        </w:rPr>
                        <w:t>3.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following disclosure will be filed in an amended 8-K under Item 5.02:</w: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75260"/>
                <wp:effectExtent l="0" t="0" r="0" b="0"/>
                <wp:wrapSquare wrapText="largest"/>
                <wp:docPr id="9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  </w:t>
                            </w:r>
                            <w:r>
                              <w:rPr>
                                <w:sz w:val="20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  </w:t>
                      </w:r>
                      <w:r>
                        <w:rPr>
                          <w:sz w:val="20"/>
                        </w:rPr>
                        <w:t>4.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180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On May 11, 2011, the Company (then named Excaliber Enterprises, now named VistaGen Therapeutics), acquired all outstanding shares of VistaGen Therapeutics, a California corporation, for 6,836,452 shares of the Companys common stock. After the acquisition: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Shawn K. Singh, H. Ralph Snodgrass, Jon S. Saxe, Gregory A. Bonfiglio, and Brian J. Underdown were appointed as directors of the Company, and</w: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1524000" cy="114935"/>
                <wp:effectExtent l="0" t="0" r="0" b="0"/>
                <wp:wrapSquare wrapText="largest"/>
                <wp:docPr id="10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1493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rFonts w:ascii="Symbol" w:hAnsi="Symbol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</w:rPr>
                              <w:t>·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9.0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rFonts w:ascii="Symbol" w:hAnsi="Symbol"/>
                          <w:sz w:val="20"/>
                        </w:rPr>
                      </w:pPr>
                      <w:r>
                        <w:rPr>
                          <w:rFonts w:ascii="Symbol" w:hAnsi="Symbol"/>
                          <w:sz w:val="20"/>
                        </w:rPr>
                        <w:t>·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Stephanie Y. Jones and Matthew L. Jones resigned as directors of the Company.</w: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1524000" cy="114935"/>
                <wp:effectExtent l="0" t="0" r="0" b="0"/>
                <wp:wrapSquare wrapText="largest"/>
                <wp:docPr id="11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1493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rFonts w:ascii="Symbol" w:hAnsi="Symbol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</w:rPr>
                              <w:t>·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9.0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rFonts w:ascii="Symbol" w:hAnsi="Symbol"/>
                          <w:sz w:val="20"/>
                        </w:rPr>
                      </w:pPr>
                      <w:r>
                        <w:rPr>
                          <w:rFonts w:ascii="Symbol" w:hAnsi="Symbol"/>
                          <w:sz w:val="20"/>
                        </w:rPr>
                        <w:t>·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144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basis for the Companys conclusion that each current director should serve on the Board of Directors is listed below: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17"/>
        </w:rPr>
      </w:pPr>
      <w:r>
        <w:rPr>
          <w:rFonts w:ascii="Times New Roman" w:hAnsi="Times New Roman"/>
          <w:color w:val="000000"/>
          <w:sz w:val="17"/>
        </w:rPr>
        <w:br/>
        <w:br/>
      </w:r>
    </w:p>
    <w:p>
      <w:pPr>
        <w:pStyle w:val="HorizontalLine"/>
        <w:pBdr>
          <w:bottom w:val="single" w:sz="6" w:space="0" w:color="808080"/>
        </w:pBdr>
        <w:rPr/>
      </w:pPr>
      <w:r>
        <w:rPr/>
      </w:r>
      <w:r>
        <w:br w:type="page"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  <w:u w:val="single"/>
        </w:rPr>
      </w:pPr>
      <w:r>
        <w:rPr>
          <w:rFonts w:ascii="Times New Roman" w:hAnsi="Times New Roman"/>
          <w:color w:val="000000"/>
          <w:sz w:val="20"/>
          <w:u w:val="single"/>
        </w:rPr>
        <w:t>Response</w: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45415"/>
                <wp:effectExtent l="0" t="0" r="0" b="0"/>
                <wp:wrapSquare wrapText="largest"/>
                <wp:docPr id="12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Comment #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Comment #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  <w:u w:val="single"/>
        </w:rPr>
      </w:pPr>
      <w:r>
        <w:rPr>
          <w:rFonts w:ascii="Times New Roman" w:hAnsi="Times New Roman"/>
          <w:color w:val="000000"/>
          <w:sz w:val="20"/>
          <w:u w:val="single"/>
        </w:rPr>
        <w:t>Reason</w: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200400" cy="145415"/>
                <wp:effectExtent l="0" t="0" r="0" b="0"/>
                <wp:wrapSquare wrapText="largest"/>
                <wp:docPr id="13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Name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5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Name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(1)</w: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200400" cy="145415"/>
                <wp:effectExtent l="0" t="0" r="0" b="0"/>
                <wp:wrapSquare wrapText="largest"/>
                <wp:docPr id="14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Shawn K. Singh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5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Shawn K. Singh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(1)</w: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200400" cy="145415"/>
                <wp:effectExtent l="0" t="0" r="0" b="0"/>
                <wp:wrapSquare wrapText="largest"/>
                <wp:docPr id="15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H. Ralph Snodgrass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5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H. Ralph Snodgrass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(1)</w: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200400" cy="145415"/>
                <wp:effectExtent l="0" t="0" r="0" b="0"/>
                <wp:wrapSquare wrapText="largest"/>
                <wp:docPr id="16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Jon S. Saxe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5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Jon S. Saxe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(1)</w: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200400" cy="145415"/>
                <wp:effectExtent l="0" t="0" r="0" b="0"/>
                <wp:wrapSquare wrapText="largest"/>
                <wp:docPr id="17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Gregory A. Bonfiglio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5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Gregory A. Bonfiglio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(1) </w: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200400" cy="145415"/>
                <wp:effectExtent l="0" t="0" r="0" b="0"/>
                <wp:wrapSquare wrapText="largest"/>
                <wp:docPr id="18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Brian J. Underdown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5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Brian J. Underdown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Past experience in the biotechnology industry. For this persons specific experience in the biotechnology industry, see Item 2.01, Item 5 of the Companys amended 8-K report filed on June 8, 2011. </w: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1371600" cy="145415"/>
                <wp:effectExtent l="0" t="0" r="0" b="0"/>
                <wp:wrapSquare wrapText="largest"/>
                <wp:docPr id="19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08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(1)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CardioSafe 3D is available for use at the present time. The Companys drug candidates at this time are LiverSafe 3D and AV-101. The Company is working on the disclosure requested by this item and will provide it under separate cover. </w: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75260"/>
                <wp:effectExtent l="0" t="0" r="0" b="0"/>
                <wp:wrapSquare wrapText="largest"/>
                <wp:docPr id="20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  <w:r>
                              <w:rPr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  <w:r>
                        <w:rPr>
                          <w:sz w:val="20"/>
                        </w:rPr>
                        <w:t>5.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Company proposes to add the following sentence to its footnote regarding revenue recognition:</w: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75260"/>
                <wp:effectExtent l="0" t="0" r="0" b="0"/>
                <wp:wrapSquare wrapText="largest"/>
                <wp:docPr id="21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  </w:t>
                            </w:r>
                            <w:r>
                              <w:rPr>
                                <w:sz w:val="20"/>
                              </w:rPr>
                              <w:t>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  </w:t>
                      </w:r>
                      <w:r>
                        <w:rPr>
                          <w:sz w:val="20"/>
                        </w:rPr>
                        <w:t>6.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pBdr/>
        <w:spacing w:before="0" w:after="0"/>
        <w:ind w:left="0" w:right="0" w:firstLine="180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Company recognizes non-refundable upfront technology access fees under agreements in which it has a continuing performance obligation proportionally over the contractual performance period.  </w:t>
      </w:r>
    </w:p>
    <w:p>
      <w:pPr>
        <w:pStyle w:val="TextBody"/>
        <w:pBdr/>
        <w:spacing w:before="0" w:after="0"/>
        <w:ind w:left="0" w:right="0" w:hanging="1440"/>
        <w:jc w:val="both"/>
        <w:rPr>
          <w:color w:val="000000"/>
        </w:rPr>
      </w:pPr>
      <w:r>
        <w:rPr>
          <w:color w:val="000000"/>
        </w:rPr>
        <w:t>   </w:t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Company has evaluated the voluntary conversion option in the Platinum Notes to determine whether it meets the definition of a derivative instrument under ASC 815-10-15-83.  The voluntary conversion option provides for a gross settlement, rather than a net settlement, in shares of the Companys common stock.  These shares are not readily convertible into cash as defined under ASC 815-10-15-130 and ASC 815-10-55-87, 88 and 89.  At the time the Platinum   Notes were issued, the Company was private and there was no active market for its common stock.  Since the Company became public as a result of the Merger in May 2011, the trading volume of the Company's shares has not been sufficient to permit a sale of the conversion shares without significantly affecting the stock price.  This precludes the shares from being considered as readily convertible into cash, as defined above.  As a result, the Company has determined that the conversion option is not an embedded derivative.  </w: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75260"/>
                <wp:effectExtent l="0" t="0" r="0" b="0"/>
                <wp:wrapSquare wrapText="largest"/>
                <wp:docPr id="22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  </w:t>
                            </w:r>
                            <w:r>
                              <w:rPr>
                                <w:sz w:val="20"/>
                              </w:rPr>
                              <w:t>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  </w:t>
                      </w:r>
                      <w:r>
                        <w:rPr>
                          <w:sz w:val="20"/>
                        </w:rPr>
                        <w:t>7.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The number of shares included in this footnote is on a pre-merger basis, since the financial statements included as part of the amended 8-K report </w: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75260"/>
                <wp:effectExtent l="0" t="0" r="0" b="0"/>
                <wp:wrapSquare wrapText="largest"/>
                <wp:docPr id="23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 </w:t>
                            </w:r>
                            <w:r>
                              <w:rPr>
                                <w:sz w:val="20"/>
                              </w:rPr>
                              <w:t>8.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 </w:t>
                      </w:r>
                      <w:r>
                        <w:rPr>
                          <w:sz w:val="20"/>
                        </w:rPr>
                        <w:t>8.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  <w:u w:val="single"/>
        </w:rPr>
      </w:pPr>
      <w:r>
        <w:rPr>
          <w:rFonts w:ascii="Times New Roman" w:hAnsi="Times New Roman"/>
          <w:color w:val="000000"/>
          <w:sz w:val="20"/>
          <w:u w:val="single"/>
        </w:rPr>
        <w:t>Response</w: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914400" cy="145415"/>
                <wp:effectExtent l="0" t="0" r="0" b="0"/>
                <wp:wrapSquare wrapText="largest"/>
                <wp:docPr id="24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Comment #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Comment #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144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are those of VistaGen Therapeutics, the California corporation, which was acquired by Excalibur Enterprises on May 11, 2011.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144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following table provides a roll-forward of the outstanding shares of the common stock of VistaGen and Excaliber from March 31, 2011 through June 30, 2011.  The Company will include a similar roll-forward in its 10-Q report for the period ended September 30, 2011.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VistaGen</w: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4800600" cy="175260"/>
                <wp:effectExtent l="0" t="0" r="0" b="0"/>
                <wp:wrapSquare wrapText="largest"/>
                <wp:docPr id="25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  </w:t>
                            </w:r>
                            <w:r>
                              <w:rPr>
                                <w:sz w:val="20"/>
                              </w:rPr>
                              <w:t>Excaliber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78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  </w:t>
                      </w:r>
                      <w:r>
                        <w:rPr>
                          <w:sz w:val="20"/>
                        </w:rPr>
                        <w:t>Excaliber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pBdr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  <w:u w:val="single"/>
        </w:rPr>
      </w:pPr>
      <w:r>
        <w:rPr>
          <w:rFonts w:ascii="Times New Roman" w:hAnsi="Times New Roman"/>
          <w:color w:val="000000"/>
          <w:sz w:val="20"/>
          <w:u w:val="single"/>
        </w:rPr>
        <w:t>.</w: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5715000" cy="145415"/>
                <wp:effectExtent l="0" t="0" r="0" b="0"/>
                <wp:wrapSquare wrapText="largest"/>
                <wp:docPr id="26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Enterprises,Ltd.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Therapeutics, Inc.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0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Enterprises,Ltd.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>Therapeutics, Inc.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firstLine="108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Common stock outstanding at</w:t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3,672,110</w: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733800" cy="175260"/>
                <wp:effectExtent l="0" t="0" r="0" b="0"/>
                <wp:wrapSquare wrapText="largest"/>
                <wp:docPr id="27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</w:t>
                            </w:r>
                            <w:r>
                              <w:rPr>
                                <w:sz w:val="20"/>
                              </w:rPr>
                              <w:t>March 31, 2011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94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</w:t>
                      </w:r>
                      <w:r>
                        <w:rPr>
                          <w:sz w:val="20"/>
                        </w:rPr>
                        <w:t>March 31, 2011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1295400" cy="145415"/>
                <wp:effectExtent l="0" t="0" r="0" b="0"/>
                <wp:wrapSquare wrapText="largest"/>
                <wp:docPr id="28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5,848,707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02pt;height:11.45pt;mso-wrap-distance-left:0pt;mso-wrap-distance-right:0pt;mso-wrap-distance-top:0pt;mso-wrap-distance-bottom:0pt;margin-top:0pt;mso-position-vertical:top;mso-position-vertical-relative:text;margin-left:294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5,848,707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--</w: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629025" cy="145415"/>
                <wp:effectExtent l="0" t="0" r="0" b="0"/>
                <wp:wrapSquare wrapText="largest"/>
                <wp:docPr id="29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Shares repurchased from shareholders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85.75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Shares repurchased from shareholders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1905000" cy="145415"/>
                <wp:effectExtent l="0" t="0" r="0" b="0"/>
                <wp:wrapSquare wrapText="largest"/>
                <wp:docPr id="30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(5,064,207)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50pt;height:11.45pt;mso-wrap-distance-left:0pt;mso-wrap-distance-right:0pt;mso-wrap-distance-top:0pt;mso-wrap-distance-bottom:0pt;margin-top:0pt;mso-position-vertical:top;mso-position-vertical-relative:text;margin-left:285.75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(5,064,207)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2,216,106</w: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4238625" cy="145415"/>
                <wp:effectExtent l="0" t="0" r="0" b="0"/>
                <wp:wrapSquare wrapText="largest"/>
                <wp:docPr id="31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Shares issued in 2011 Private Placement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33.75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Shares issued in 2011 Private Placement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781050" cy="145415"/>
                <wp:effectExtent l="0" t="0" r="0" b="0"/>
                <wp:wrapSquare wrapText="largest"/>
                <wp:docPr id="32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1.45pt;mso-wrap-distance-left:0pt;mso-wrap-distance-right:0pt;mso-wrap-distance-top:0pt;mso-wrap-distance-bottom:0pt;margin-top:0pt;mso-position-vertical:top;mso-position-vertical-relative:text;margin-left:333.75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--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108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Shares issued upon conversion of </w:t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3,528,290</w: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4238625" cy="175260"/>
                <wp:effectExtent l="0" t="0" r="0" b="0"/>
                <wp:wrapSquare wrapText="largest"/>
                <wp:docPr id="33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</w:t>
                            </w:r>
                            <w:r>
                              <w:rPr>
                                <w:sz w:val="20"/>
                              </w:rPr>
                              <w:t>Convertible promissory notes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33.7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</w:t>
                      </w:r>
                      <w:r>
                        <w:rPr>
                          <w:sz w:val="20"/>
                        </w:rPr>
                        <w:t>Convertible promissory notes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781050" cy="145415"/>
                <wp:effectExtent l="0" t="0" r="0" b="0"/>
                <wp:wrapSquare wrapText="largest"/>
                <wp:docPr id="34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1.45pt;mso-wrap-distance-left:0pt;mso-wrap-distance-right:0pt;mso-wrap-distance-top:0pt;mso-wrap-distance-bottom:0pt;margin-top:0pt;mso-position-vertical:top;mso-position-vertical-relative:text;margin-left:333.75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--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108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Shares issued upon conversion of all</w:t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2,884,655</w: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4238625" cy="175260"/>
                <wp:effectExtent l="0" t="0" r="0" b="0"/>
                <wp:wrapSquare wrapText="largest"/>
                <wp:docPr id="35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</w:t>
                            </w:r>
                            <w:r>
                              <w:rPr>
                                <w:sz w:val="20"/>
                              </w:rPr>
                              <w:t>series of preferred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33.7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</w:t>
                      </w:r>
                      <w:r>
                        <w:rPr>
                          <w:sz w:val="20"/>
                        </w:rPr>
                        <w:t>series of preferred stock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781050" cy="145415"/>
                <wp:effectExtent l="0" t="0" r="0" b="0"/>
                <wp:wrapSquare wrapText="largest"/>
                <wp:docPr id="36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1.45pt;mso-wrap-distance-left:0pt;mso-wrap-distance-right:0pt;mso-wrap-distance-top:0pt;mso-wrap-distance-bottom:0pt;margin-top:0pt;mso-position-vertical:top;mso-position-vertical-relative:text;margin-left:333.75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--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color w:val="000000"/>
          <w:u w:val="single"/>
        </w:rPr>
      </w:pPr>
      <w:r>
        <w:rPr>
          <w:color w:val="000000"/>
          <w:u w:val="single"/>
        </w:rPr>
        <w:t>   </w:t>
      </w:r>
      <w:r>
        <w:rPr>
          <w:rFonts w:ascii="Times New Roman" w:hAnsi="Times New Roman"/>
          <w:color w:val="000000"/>
          <w:sz w:val="20"/>
          <w:u w:val="single"/>
        </w:rPr>
        <w:t>1,371,743</w: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438525" cy="145415"/>
                <wp:effectExtent l="0" t="0" r="0" b="0"/>
                <wp:wrapSquare wrapText="largest"/>
                <wp:docPr id="37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Shares issued for services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0.75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Shares issued for services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1466850" cy="175260"/>
                <wp:effectExtent l="0" t="0" r="0" b="0"/>
                <wp:wrapSquare wrapText="largest"/>
                <wp:docPr id="38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   </w:t>
                            </w:r>
                            <w:r>
                              <w:rPr>
                                <w:u w:val="single"/>
                              </w:rPr>
                              <w:t>               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--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5.5pt;height:13.8pt;mso-wrap-distance-left:0pt;mso-wrap-distance-right:0pt;mso-wrap-distance-top:0pt;mso-wrap-distance-bottom:0pt;margin-top:0pt;mso-position-vertical:top;mso-position-vertical-relative:text;margin-left:270.75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   </w:t>
                      </w:r>
                      <w:r>
                        <w:rPr>
                          <w:u w:val="single"/>
                        </w:rPr>
                        <w:t>               </w:t>
                      </w:r>
                      <w:r>
                        <w:rPr>
                          <w:sz w:val="20"/>
                          <w:u w:val="single"/>
                        </w:rPr>
                        <w:t>--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13,672,904</w: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4953000" cy="145415"/>
                <wp:effectExtent l="0" t="0" r="0" b="0"/>
                <wp:wrapSquare wrapText="largest"/>
                <wp:docPr id="39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784,500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0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784,500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color w:val="000000"/>
        </w:rPr>
      </w:pPr>
      <w:r>
        <w:rPr>
          <w:color w:val="000000"/>
        </w:rPr>
        <w:t>  </w:t>
      </w:r>
      <w:r>
        <w:rPr>
          <w:color w:val="000000"/>
          <w:u w:val="single"/>
        </w:rPr>
        <w:t> </w:t>
      </w:r>
      <w:r>
        <w:rPr>
          <w:rFonts w:ascii="Times New Roman" w:hAnsi="Times New Roman"/>
          <w:color w:val="000000"/>
          <w:sz w:val="20"/>
          <w:u w:val="single"/>
        </w:rPr>
        <w:t>(13,672,904)</w: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848100" cy="145415"/>
                <wp:effectExtent l="0" t="0" r="0" b="0"/>
                <wp:wrapSquare wrapText="largest"/>
                <wp:docPr id="40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Common stock outstanding at Merger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03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Common stock outstanding at Merger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885825" cy="145415"/>
                <wp:effectExtent l="0" t="0" r="0" b="0"/>
                <wp:wrapSquare wrapText="largest"/>
                <wp:docPr id="41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784,500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1.45pt;mso-wrap-distance-left:0pt;mso-wrap-distance-right:0pt;mso-wrap-distance-top:0pt;mso-wrap-distance-bottom:0pt;margin-top:0pt;mso-position-vertical:top;mso-position-vertical-relative:text;margin-left:303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784,500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color w:val="000000"/>
          <w:u w:val="single"/>
        </w:rPr>
      </w:pPr>
      <w:r>
        <w:rPr>
          <w:color w:val="000000"/>
          <w:u w:val="single"/>
        </w:rPr>
        <w:t>                  </w:t>
      </w:r>
      <w:r>
        <w:rPr>
          <w:rFonts w:ascii="Times New Roman" w:hAnsi="Times New Roman"/>
          <w:color w:val="000000"/>
          <w:sz w:val="20"/>
          <w:u w:val="single"/>
        </w:rPr>
        <w:t>--</w: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657600" cy="145415"/>
                <wp:effectExtent l="0" t="0" r="0" b="0"/>
                <wp:wrapSquare wrapText="largest"/>
                <wp:docPr id="42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Common stock issued for VistaGen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88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Common stock issued for VistaGen common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1190625" cy="175260"/>
                <wp:effectExtent l="0" t="0" r="0" b="0"/>
                <wp:wrapSquare wrapText="largest"/>
                <wp:docPr id="43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  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6,836,452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93.75pt;height:13.8pt;mso-wrap-distance-left:0pt;mso-wrap-distance-right:0pt;mso-wrap-distance-top:0pt;mso-wrap-distance-bottom:0pt;margin-top:0pt;mso-position-vertical:top;mso-position-vertical-relative:text;margin-left:288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  </w:t>
                      </w:r>
                      <w:r>
                        <w:rPr>
                          <w:sz w:val="20"/>
                          <w:u w:val="single"/>
                        </w:rPr>
                        <w:t>6,836,452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color w:val="000000"/>
        </w:rPr>
      </w:pPr>
      <w:r>
        <w:rPr>
          <w:color w:val="000000"/>
        </w:rPr>
        <w:t>          </w: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657600" cy="145415"/>
                <wp:effectExtent l="0" t="0" r="0" b="0"/>
                <wp:wrapSquare wrapText="largest"/>
                <wp:docPr id="44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Common stock outstanding post-Merger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88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Common stock outstanding post-Merger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1600200" cy="175260"/>
                <wp:effectExtent l="0" t="0" r="0" b="0"/>
                <wp:wrapSquare wrapText="largest"/>
                <wp:docPr id="45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</w:t>
                            </w:r>
                            <w:r>
                              <w:rPr>
                                <w:sz w:val="20"/>
                              </w:rPr>
                              <w:t>7,620,952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6pt;height:13.8pt;mso-wrap-distance-left:0pt;mso-wrap-distance-right:0pt;mso-wrap-distance-top:0pt;mso-wrap-distance-bottom:0pt;margin-top:0pt;mso-position-vertical:top;mso-position-vertical-relative:text;margin-left:288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</w:t>
                      </w:r>
                      <w:r>
                        <w:rPr>
                          <w:sz w:val="20"/>
                        </w:rPr>
                        <w:t>7,620,952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color w:val="000000"/>
        </w:rPr>
      </w:pPr>
      <w:r>
        <w:rPr>
          <w:color w:val="000000"/>
        </w:rPr>
        <w:t>  </w:t>
      </w:r>
      <w:r>
        <w:rPr>
          <w:color w:val="000000"/>
          <w:u w:val="single"/>
        </w:rPr>
        <w:t>  </w:t>
      </w:r>
      <w:r>
        <w:rPr>
          <w:rFonts w:ascii="Times New Roman" w:hAnsi="Times New Roman"/>
          <w:color w:val="000000"/>
          <w:sz w:val="20"/>
          <w:u w:val="single"/>
        </w:rPr>
        <w:t>7,620,952</w: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581400" cy="145415"/>
                <wp:effectExtent l="0" t="0" r="0" b="0"/>
                <wp:wrapSquare wrapText="largest"/>
                <wp:docPr id="46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Two-for-one forward stock split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82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Two-for-one forward stock split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  <w:u w:val="single"/>
        </w:rPr>
      </w:pPr>
      <w:r>
        <w:rPr>
          <w:rFonts w:ascii="Times New Roman" w:hAnsi="Times New Roman"/>
          <w:color w:val="000000"/>
          <w:sz w:val="20"/>
          <w:u w:val="single"/>
        </w:rPr>
        <w:t>15,241,904</w: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657600" cy="145415"/>
                <wp:effectExtent l="0" t="0" r="0" b="0"/>
                <wp:wrapSquare wrapText="largest"/>
                <wp:docPr id="47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4541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Common stock outstanding at June 30, 2011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88pt;height:11.4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Common stock outstanding at June 30, 2011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72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We plan to send you the responses to the remaining comments shortly. </w:t>
      </w:r>
    </w:p>
    <w:p>
      <w:pPr>
        <w:pStyle w:val="TextBody"/>
        <w:spacing w:before="0" w:after="0"/>
        <w:ind w:left="0" w:right="0" w:hanging="0"/>
        <w:rPr>
          <w:rFonts w:ascii="Times New Roman" w:hAnsi="Times New Roman"/>
          <w:color w:val="000000"/>
          <w:sz w:val="17"/>
        </w:rPr>
      </w:pPr>
      <w:r>
        <w:rPr>
          <w:rFonts w:ascii="Times New Roman" w:hAnsi="Times New Roman"/>
          <w:color w:val="000000"/>
          <w:sz w:val="17"/>
        </w:rPr>
        <w:br/>
        <w:br/>
      </w:r>
    </w:p>
    <w:p>
      <w:pPr>
        <w:pStyle w:val="HorizontalLine"/>
        <w:pBdr>
          <w:bottom w:val="single" w:sz="6" w:space="0" w:color="808080"/>
        </w:pBdr>
        <w:rPr/>
      </w:pPr>
      <w:r>
        <w:rPr/>
      </w:r>
      <w:r>
        <w:br w:type="page"/>
      </w:r>
    </w:p>
    <w:p>
      <w:pPr>
        <w:pStyle w:val="TextBody"/>
        <w:spacing w:before="0" w:after="0"/>
        <w:ind w:left="0" w:right="0" w:firstLine="72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If you should have any questions concerning the foregoing, please do not hesitate to contact the undersigned.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432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Very Truly Yours,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432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HART &amp; TRINEN, L.L.P.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firstLine="3600"/>
        <w:jc w:val="both"/>
        <w:rPr>
          <w:color w:val="000000"/>
        </w:rPr>
      </w:pPr>
      <w:r>
        <w:rPr>
          <w:color w:val="000000"/>
        </w:rPr>
        <w:t>           </w:t>
      </w:r>
      <w:r>
        <w:rPr>
          <w:rFonts w:ascii="Times New Roman" w:hAnsi="Times New Roman"/>
          <w:i/>
          <w:color w:val="000000"/>
          <w:sz w:val="20"/>
        </w:rPr>
        <w:t>/s/ William Hart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</w:r>
    </w:p>
    <w:p>
      <w:pPr>
        <w:pStyle w:val="TextBody"/>
        <w:spacing w:before="0" w:after="0"/>
        <w:ind w:left="0" w:right="0" w:hanging="3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William T. Hart</w: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2286000" cy="175260"/>
                <wp:effectExtent l="0" t="0" r="0" b="0"/>
                <wp:wrapSquare wrapText="largest"/>
                <wp:docPr id="48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80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457200" cy="175260"/>
                <wp:effectExtent l="0" t="0" r="0" b="0"/>
                <wp:wrapSquare wrapText="largest"/>
                <wp:docPr id="49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      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6pt;height:13.8pt;mso-wrap-distance-left:0pt;mso-wrap-distance-right:0pt;mso-wrap-distance-top:0pt;mso-wrap-distance-bottom:0pt;margin-top:0pt;mso-position-vertical:top;mso-position-vertical-relative:text;margin-left:18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       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>
          <w:rFonts w:ascii="Times New Roman" w:hAnsi="Times New Roman"/>
          <w:color w:val="000000"/>
          <w:sz w:val="13"/>
        </w:rPr>
      </w:pPr>
      <w:r>
        <w:rPr>
          <w:rFonts w:ascii="Times New Roman" w:hAnsi="Times New Roman"/>
          <w:color w:val="000000"/>
          <w:sz w:val="13"/>
        </w:rPr>
        <w:t>VistaGen Letter SEC re response to comments 10-24-11 P</w:t>
      </w:r>
    </w:p>
    <w:p>
      <w:pPr>
        <w:pStyle w:val="TextBody"/>
        <w:spacing w:before="0" w:after="0"/>
        <w:ind w:left="0" w:right="0" w:hanging="0"/>
        <w:rPr>
          <w:rFonts w:ascii="Times New Roman" w:hAnsi="Times New Roman"/>
          <w:color w:val="000000"/>
          <w:sz w:val="17"/>
        </w:rPr>
      </w:pPr>
      <w:r>
        <w:rPr>
          <w:rFonts w:ascii="Times New Roman" w:hAnsi="Times New Roman"/>
          <w:color w:val="000000"/>
          <w:sz w:val="17"/>
        </w:rPr>
        <w:br/>
        <w:br/>
        <w:b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  <w:font w:name="Symbol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757</Words>
  <CharactersWithSpaces>4796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