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excb_8a12g.htm"/>
      <w:bookmarkStart w:id="1" w:name="ksexcb_8a12g"/>
      <w:bookmarkStart w:id="2" w:name="excb_8a12g.htm"/>
      <w:bookmarkStart w:id="3" w:name="ksexcb_8a12g"/>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8-A</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 registration of certain classes of securities</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12(b) or (g) of the</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Exchange Act of 1934</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3525"/>
        <w:gridCol w:w="1299"/>
        <w:gridCol w:w="834"/>
        <w:gridCol w:w="3526"/>
      </w:tblGrid>
      <w:tr>
        <w:trPr/>
        <w:tc>
          <w:tcPr>
            <w:tcW w:w="9184" w:type="dxa"/>
            <w:gridSpan w:val="4"/>
            <w:tcBorders/>
            <w:shd w:fill="auto" w:val="clear"/>
          </w:tcPr>
          <w:p>
            <w:pPr>
              <w:pStyle w:val="TableContents"/>
              <w:spacing w:before="0" w:after="0"/>
              <w:ind w:left="0" w:right="0" w:hanging="0"/>
              <w:jc w:val="center"/>
              <w:rPr>
                <w:rFonts w:ascii="times new roman" w:hAnsi="times new roman"/>
                <w:b/>
                <w:sz w:val="24"/>
                <w:u w:val="single"/>
              </w:rPr>
            </w:pPr>
            <w:r>
              <w:rPr>
                <w:rFonts w:ascii="times new roman" w:hAnsi="times new roman"/>
                <w:b/>
                <w:sz w:val="24"/>
                <w:u w:val="single"/>
              </w:rPr>
              <w:t>EXCALIBER ENTERPRISES, LTD.</w:t>
            </w:r>
          </w:p>
        </w:tc>
      </w:tr>
      <w:tr>
        <w:trPr/>
        <w:tc>
          <w:tcPr>
            <w:tcW w:w="9184" w:type="dxa"/>
            <w:gridSpan w:val="4"/>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charter)</w:t>
            </w:r>
          </w:p>
        </w:tc>
      </w:tr>
      <w:tr>
        <w:trPr/>
        <w:tc>
          <w:tcPr>
            <w:tcW w:w="9184" w:type="dxa"/>
            <w:gridSpan w:val="4"/>
            <w:tcBorders/>
            <w:shd w:fill="auto" w:val="clear"/>
          </w:tcPr>
          <w:p>
            <w:pPr>
              <w:pStyle w:val="TableContents"/>
              <w:spacing w:before="0" w:after="283"/>
              <w:rPr/>
            </w:pPr>
            <w:r>
              <w:rPr/>
              <w:t xml:space="preserve">  </w:t>
            </w:r>
          </w:p>
        </w:tc>
      </w:tr>
      <w:tr>
        <w:trPr/>
        <w:tc>
          <w:tcPr>
            <w:tcW w:w="9184" w:type="dxa"/>
            <w:gridSpan w:val="4"/>
            <w:tcBorders/>
            <w:shd w:fill="auto" w:val="clear"/>
          </w:tcPr>
          <w:p>
            <w:pPr>
              <w:pStyle w:val="TableContents"/>
              <w:spacing w:before="0" w:after="283"/>
              <w:rPr/>
            </w:pPr>
            <w:r>
              <w:rPr/>
              <w:t xml:space="preserve">  </w:t>
            </w:r>
          </w:p>
        </w:tc>
      </w:tr>
      <w:tr>
        <w:trPr/>
        <w:tc>
          <w:tcPr>
            <w:tcW w:w="3525"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2133" w:type="dxa"/>
            <w:gridSpan w:val="2"/>
            <w:tcBorders/>
            <w:shd w:fill="auto" w:val="clear"/>
          </w:tcPr>
          <w:p>
            <w:pPr>
              <w:pStyle w:val="TableContents"/>
              <w:spacing w:before="0" w:after="283"/>
              <w:rPr/>
            </w:pPr>
            <w:r>
              <w:rPr/>
              <w:t> </w:t>
            </w:r>
          </w:p>
        </w:tc>
        <w:tc>
          <w:tcPr>
            <w:tcW w:w="3526"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20-5093315</w:t>
            </w:r>
          </w:p>
        </w:tc>
      </w:tr>
      <w:tr>
        <w:trPr/>
        <w:tc>
          <w:tcPr>
            <w:tcW w:w="352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of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2133" w:type="dxa"/>
            <w:gridSpan w:val="2"/>
            <w:tcBorders/>
            <w:shd w:fill="auto" w:val="clear"/>
          </w:tcPr>
          <w:p>
            <w:pPr>
              <w:pStyle w:val="TableContents"/>
              <w:spacing w:before="0" w:after="283"/>
              <w:rPr/>
            </w:pPr>
            <w:r>
              <w:rPr/>
              <w:t xml:space="preserve">  </w:t>
            </w:r>
          </w:p>
        </w:tc>
        <w:tc>
          <w:tcPr>
            <w:tcW w:w="352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r>
        <w:trPr/>
        <w:tc>
          <w:tcPr>
            <w:tcW w:w="9184" w:type="dxa"/>
            <w:gridSpan w:val="4"/>
            <w:tcBorders/>
            <w:shd w:fill="auto" w:val="clear"/>
          </w:tcPr>
          <w:p>
            <w:pPr>
              <w:pStyle w:val="TableContents"/>
              <w:spacing w:before="0" w:after="283"/>
              <w:rPr/>
            </w:pPr>
            <w:r>
              <w:rPr/>
              <w:t xml:space="preserve">  </w:t>
            </w:r>
          </w:p>
        </w:tc>
      </w:tr>
      <w:tr>
        <w:trPr/>
        <w:tc>
          <w:tcPr>
            <w:tcW w:w="9184" w:type="dxa"/>
            <w:gridSpan w:val="4"/>
            <w:tcBorders/>
            <w:shd w:fill="auto" w:val="clear"/>
          </w:tcPr>
          <w:p>
            <w:pPr>
              <w:pStyle w:val="TableContents"/>
              <w:spacing w:before="0" w:after="283"/>
              <w:rPr/>
            </w:pPr>
            <w:r>
              <w:rPr/>
              <w:t xml:space="preserve">  </w:t>
            </w:r>
          </w:p>
        </w:tc>
      </w:tr>
      <w:tr>
        <w:trPr/>
        <w:tc>
          <w:tcPr>
            <w:tcW w:w="4824"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13834 W. Hoyt Road</w:t>
            </w:r>
          </w:p>
        </w:tc>
        <w:tc>
          <w:tcPr>
            <w:tcW w:w="4360" w:type="dxa"/>
            <w:gridSpan w:val="2"/>
            <w:tcBorders/>
            <w:shd w:fill="auto" w:val="clear"/>
          </w:tcPr>
          <w:p>
            <w:pPr>
              <w:pStyle w:val="TableContents"/>
              <w:spacing w:before="0" w:after="283"/>
              <w:rPr/>
            </w:pPr>
            <w:r>
              <w:rPr/>
              <w:t xml:space="preserve">  </w:t>
            </w:r>
          </w:p>
        </w:tc>
      </w:tr>
      <w:tr>
        <w:trPr/>
        <w:tc>
          <w:tcPr>
            <w:tcW w:w="4824" w:type="dxa"/>
            <w:gridSpan w:val="2"/>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Rathdrum, Idaho</w:t>
            </w:r>
          </w:p>
        </w:tc>
        <w:tc>
          <w:tcPr>
            <w:tcW w:w="4360" w:type="dxa"/>
            <w:gridSpan w:val="2"/>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83858</w:t>
            </w:r>
          </w:p>
        </w:tc>
      </w:tr>
      <w:tr>
        <w:trPr/>
        <w:tc>
          <w:tcPr>
            <w:tcW w:w="4824"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4360"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9184" w:type="dxa"/>
            <w:gridSpan w:val="4"/>
            <w:tcBorders/>
            <w:shd w:fill="auto" w:val="clear"/>
          </w:tcPr>
          <w:p>
            <w:pPr>
              <w:pStyle w:val="TableContents"/>
              <w:spacing w:before="0" w:after="283"/>
              <w:rPr/>
            </w:pPr>
            <w:r>
              <w:rPr/>
              <w:t xml:space="preserve">  </w:t>
            </w:r>
          </w:p>
        </w:tc>
      </w:tr>
      <w:tr>
        <w:trPr/>
        <w:tc>
          <w:tcPr>
            <w:tcW w:w="9184"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Securities to be registered pursuant to Section 12(b) of the Act:</w:t>
            </w:r>
          </w:p>
        </w:tc>
      </w:tr>
      <w:tr>
        <w:trPr/>
        <w:tc>
          <w:tcPr>
            <w:tcW w:w="9184" w:type="dxa"/>
            <w:gridSpan w:val="4"/>
            <w:tcBorders/>
            <w:shd w:fill="auto" w:val="clear"/>
          </w:tcPr>
          <w:p>
            <w:pPr>
              <w:pStyle w:val="TableContents"/>
              <w:spacing w:before="0" w:after="283"/>
              <w:rPr/>
            </w:pPr>
            <w:r>
              <w:rPr/>
              <w:t xml:space="preserve">  </w:t>
            </w:r>
          </w:p>
        </w:tc>
      </w:tr>
      <w:tr>
        <w:trPr/>
        <w:tc>
          <w:tcPr>
            <w:tcW w:w="352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2133" w:type="dxa"/>
            <w:gridSpan w:val="2"/>
            <w:tcBorders/>
            <w:shd w:fill="auto" w:val="clear"/>
          </w:tcPr>
          <w:p>
            <w:pPr>
              <w:pStyle w:val="TableContents"/>
              <w:spacing w:before="0" w:after="283"/>
              <w:rPr/>
            </w:pPr>
            <w:r>
              <w:rPr/>
              <w:t xml:space="preserve">  </w:t>
            </w:r>
          </w:p>
        </w:tc>
        <w:tc>
          <w:tcPr>
            <w:tcW w:w="352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each exchange on which</w:t>
            </w:r>
          </w:p>
        </w:tc>
      </w:tr>
      <w:tr>
        <w:trPr/>
        <w:tc>
          <w:tcPr>
            <w:tcW w:w="352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to be so registered</w:t>
            </w:r>
          </w:p>
        </w:tc>
        <w:tc>
          <w:tcPr>
            <w:tcW w:w="2133" w:type="dxa"/>
            <w:gridSpan w:val="2"/>
            <w:tcBorders/>
            <w:shd w:fill="auto" w:val="clear"/>
          </w:tcPr>
          <w:p>
            <w:pPr>
              <w:pStyle w:val="TableContents"/>
              <w:spacing w:before="0" w:after="283"/>
              <w:rPr/>
            </w:pPr>
            <w:r>
              <w:rPr/>
              <w:t xml:space="preserve">  </w:t>
            </w:r>
          </w:p>
        </w:tc>
        <w:tc>
          <w:tcPr>
            <w:tcW w:w="352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each class is to be registered</w:t>
            </w:r>
          </w:p>
        </w:tc>
      </w:tr>
      <w:tr>
        <w:trPr/>
        <w:tc>
          <w:tcPr>
            <w:tcW w:w="3525" w:type="dxa"/>
            <w:tcBorders/>
            <w:shd w:fill="auto" w:val="clear"/>
          </w:tcPr>
          <w:p>
            <w:pPr>
              <w:pStyle w:val="TableContents"/>
              <w:spacing w:before="0" w:after="283"/>
              <w:rPr/>
            </w:pPr>
            <w:r>
              <w:rPr/>
              <w:t xml:space="preserve">  </w:t>
            </w:r>
          </w:p>
        </w:tc>
        <w:tc>
          <w:tcPr>
            <w:tcW w:w="2133" w:type="dxa"/>
            <w:gridSpan w:val="2"/>
            <w:tcBorders/>
            <w:shd w:fill="auto" w:val="clear"/>
          </w:tcPr>
          <w:p>
            <w:pPr>
              <w:pStyle w:val="TableContents"/>
              <w:spacing w:before="0" w:after="283"/>
              <w:rPr/>
            </w:pPr>
            <w:r>
              <w:rPr/>
              <w:t xml:space="preserve">  </w:t>
            </w:r>
          </w:p>
        </w:tc>
        <w:tc>
          <w:tcPr>
            <w:tcW w:w="3526" w:type="dxa"/>
            <w:tcBorders/>
            <w:shd w:fill="auto" w:val="clear"/>
          </w:tcPr>
          <w:p>
            <w:pPr>
              <w:pStyle w:val="TableContents"/>
              <w:spacing w:before="0" w:after="283"/>
              <w:rPr/>
            </w:pPr>
            <w:r>
              <w:rPr/>
              <w:t xml:space="preserve">  </w:t>
            </w:r>
          </w:p>
        </w:tc>
      </w:tr>
      <w:tr>
        <w:trPr/>
        <w:tc>
          <w:tcPr>
            <w:tcW w:w="3525" w:type="dxa"/>
            <w:tcBorders>
              <w:bottom w:val="single" w:sz="12" w:space="0" w:color="000000"/>
            </w:tcBorders>
            <w:shd w:fill="auto" w:val="clear"/>
            <w:tcMar>
              <w:bottom w:w="28" w:type="dxa"/>
            </w:tcMar>
          </w:tcPr>
          <w:p>
            <w:pPr>
              <w:pStyle w:val="TableContents"/>
              <w:spacing w:before="0" w:after="283"/>
              <w:rPr/>
            </w:pPr>
            <w:r>
              <w:rPr/>
              <w:t xml:space="preserve">  </w:t>
            </w:r>
          </w:p>
        </w:tc>
        <w:tc>
          <w:tcPr>
            <w:tcW w:w="2133" w:type="dxa"/>
            <w:gridSpan w:val="2"/>
            <w:tcBorders/>
            <w:shd w:fill="auto" w:val="clear"/>
          </w:tcPr>
          <w:p>
            <w:pPr>
              <w:pStyle w:val="TableContents"/>
              <w:spacing w:before="0" w:after="283"/>
              <w:rPr/>
            </w:pPr>
            <w:r>
              <w:rPr/>
              <w:t xml:space="preserve">  </w:t>
            </w:r>
          </w:p>
        </w:tc>
        <w:tc>
          <w:tcPr>
            <w:tcW w:w="3526" w:type="dxa"/>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3525" w:type="dxa"/>
            <w:tcBorders/>
            <w:shd w:fill="auto" w:val="clear"/>
          </w:tcPr>
          <w:p>
            <w:pPr>
              <w:pStyle w:val="TableContents"/>
              <w:spacing w:before="0" w:after="283"/>
              <w:rPr/>
            </w:pPr>
            <w:r>
              <w:rPr/>
              <w:t xml:space="preserve">  </w:t>
            </w:r>
          </w:p>
        </w:tc>
        <w:tc>
          <w:tcPr>
            <w:tcW w:w="2133" w:type="dxa"/>
            <w:gridSpan w:val="2"/>
            <w:tcBorders/>
            <w:shd w:fill="auto" w:val="clear"/>
          </w:tcPr>
          <w:p>
            <w:pPr>
              <w:pStyle w:val="TableContents"/>
              <w:spacing w:before="0" w:after="283"/>
              <w:rPr/>
            </w:pPr>
            <w:r>
              <w:rPr/>
              <w:t xml:space="preserve">  </w:t>
            </w:r>
          </w:p>
        </w:tc>
        <w:tc>
          <w:tcPr>
            <w:tcW w:w="3526"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this form relates to the registration of a class of securities pursuant to Section 12(b) of the Exchange Act and is effective pursuant to General Instruction A.(c), check the following box.  [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this form relates to the registration of a class of securities pursuant to Section 12(g) of the Exchange Act and is effective pursuant to General Instruction A.(d), check the following box.  [X]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Securities Act registration statement file number to which this form relates: </w:t>
      </w:r>
      <w:r>
        <w:rPr>
          <w:rFonts w:ascii="Times New Roman" w:hAnsi="Times New Roman"/>
          <w:sz w:val="20"/>
          <w:u w:val="single"/>
        </w:rPr>
        <w:t>333-145977</w:t>
      </w:r>
      <w:r>
        <w:rPr>
          <w:rFonts w:ascii="Times New Roman" w:hAnsi="Times New Roman"/>
          <w:sz w:val="20"/>
        </w:rPr>
        <w:t xml:space="preserve"> (if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Securities to be registered pursuant to Section 12(g) of the Act:</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9184"/>
      </w:tblGrid>
      <w:tr>
        <w:trPr/>
        <w:tc>
          <w:tcPr>
            <w:tcW w:w="9184"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COMMON STOCK</w:t>
            </w:r>
          </w:p>
        </w:tc>
      </w:tr>
      <w:tr>
        <w:trPr/>
        <w:tc>
          <w:tcPr>
            <w:tcW w:w="918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r>
        <w:trPr/>
        <w:tc>
          <w:tcPr>
            <w:tcW w:w="9184" w:type="dxa"/>
            <w:tcBorders/>
            <w:shd w:fill="auto" w:val="clear"/>
          </w:tcPr>
          <w:p>
            <w:pPr>
              <w:pStyle w:val="TableContents"/>
              <w:spacing w:before="0" w:after="283"/>
              <w:jc w:val="center"/>
              <w:rPr/>
            </w:pPr>
            <w:r>
              <w:rPr/>
              <w:t xml:space="preserve">  </w:t>
            </w:r>
            <w:r>
              <w:rPr>
                <w:rFonts w:ascii="times new roman" w:hAnsi="times new roman"/>
                <w:sz w:val="20"/>
              </w:rPr>
              <w:t>_______________</w:t>
            </w:r>
          </w:p>
        </w:tc>
      </w:tr>
      <w:tr>
        <w:trPr/>
        <w:tc>
          <w:tcPr>
            <w:tcW w:w="918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  Description of Registrant’s Securities to be Registered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a description of the Common Stock being registered, reference is made to the section entitled "Description of Securities" included in the Prospectus (the "Prospectus") dated September 5, 2007, contained in the Registrant's Registration Statement on Form SB-2, File No. 333-145977, filed with the Securities and Exchange Commission on September 11, 2005 (the "Registration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2.  Exhibits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419"/>
        <w:gridCol w:w="8786"/>
      </w:tblGrid>
      <w:tr>
        <w:trPr/>
        <w:tc>
          <w:tcPr>
            <w:tcW w:w="1419" w:type="dxa"/>
            <w:tcBorders>
              <w:bottom w:val="single" w:sz="12" w:space="0" w:color="000000"/>
            </w:tcBorders>
            <w:shd w:fill="auto" w:val="clear"/>
            <w:vAlign w:val="center"/>
          </w:tcPr>
          <w:p>
            <w:pPr>
              <w:pStyle w:val="TableContents"/>
              <w:spacing w:before="0" w:after="0"/>
              <w:ind w:left="0" w:right="14" w:hanging="0"/>
              <w:jc w:val="center"/>
              <w:rPr>
                <w:rFonts w:ascii="times new roman" w:hAnsi="times new roman"/>
                <w:sz w:val="20"/>
              </w:rPr>
            </w:pPr>
            <w:r>
              <w:rPr>
                <w:rFonts w:ascii="times new roman" w:hAnsi="times new roman"/>
                <w:sz w:val="20"/>
              </w:rPr>
              <w:t>Exhibit Number</w:t>
            </w:r>
          </w:p>
        </w:tc>
        <w:tc>
          <w:tcPr>
            <w:tcW w:w="8786" w:type="dxa"/>
            <w:tcBorders>
              <w:bottom w:val="single" w:sz="12" w:space="0" w:color="000000"/>
            </w:tcBorders>
            <w:shd w:fill="auto" w:val="clear"/>
            <w:vAlign w:val="center"/>
          </w:tcPr>
          <w:p>
            <w:pPr>
              <w:pStyle w:val="TableContents"/>
              <w:spacing w:before="0" w:after="0"/>
              <w:ind w:left="0" w:right="14" w:hanging="0"/>
              <w:jc w:val="center"/>
              <w:rPr>
                <w:rFonts w:ascii="times new roman" w:hAnsi="times new roman"/>
                <w:sz w:val="20"/>
              </w:rPr>
            </w:pPr>
            <w:r>
              <w:rPr>
                <w:rFonts w:ascii="times new roman" w:hAnsi="times new roman"/>
                <w:sz w:val="20"/>
              </w:rPr>
              <w:t>Name and/or Identification of Exhibit</w:t>
            </w:r>
          </w:p>
        </w:tc>
      </w:tr>
      <w:tr>
        <w:trPr/>
        <w:tc>
          <w:tcPr>
            <w:tcW w:w="1419" w:type="dxa"/>
            <w:tcBorders/>
            <w:shd w:fill="CBDBD1" w:val="clear"/>
            <w:tcMar>
              <w:bottom w:w="0" w:type="dxa"/>
            </w:tcMar>
          </w:tcPr>
          <w:p>
            <w:pPr>
              <w:pStyle w:val="TableContents"/>
              <w:spacing w:before="0" w:after="0"/>
              <w:ind w:left="0" w:right="18" w:hanging="0"/>
              <w:jc w:val="center"/>
              <w:rPr>
                <w:rFonts w:ascii="times new roman" w:hAnsi="times new roman"/>
                <w:sz w:val="20"/>
              </w:rPr>
            </w:pPr>
            <w:r>
              <w:rPr>
                <w:rFonts w:ascii="times new roman" w:hAnsi="times new roman"/>
                <w:sz w:val="20"/>
              </w:rPr>
              <w:t>4.</w:t>
            </w:r>
          </w:p>
        </w:tc>
        <w:tc>
          <w:tcPr>
            <w:tcW w:w="8786" w:type="dxa"/>
            <w:tcBorders/>
            <w:shd w:fill="CBDBD1" w:val="clear"/>
            <w:tcMar>
              <w:bottom w:w="0" w:type="dxa"/>
            </w:tcMar>
          </w:tcPr>
          <w:p>
            <w:pPr>
              <w:pStyle w:val="TableContents"/>
              <w:spacing w:before="0" w:after="0"/>
              <w:ind w:left="0" w:right="18" w:hanging="0"/>
              <w:jc w:val="left"/>
              <w:rPr>
                <w:rFonts w:ascii="times new roman" w:hAnsi="times new roman"/>
                <w:sz w:val="20"/>
              </w:rPr>
            </w:pPr>
            <w:r>
              <w:rPr>
                <w:rFonts w:ascii="times new roman" w:hAnsi="times new roman"/>
                <w:sz w:val="20"/>
              </w:rPr>
              <w:t>Instruments defining rights of security holders including indentures</w:t>
            </w:r>
          </w:p>
        </w:tc>
      </w:tr>
      <w:tr>
        <w:trPr/>
        <w:tc>
          <w:tcPr>
            <w:tcW w:w="1419" w:type="dxa"/>
            <w:tcBorders/>
            <w:shd w:fill="FFFFFF" w:val="clear"/>
            <w:tcMar>
              <w:bottom w:w="0" w:type="dxa"/>
            </w:tcMar>
          </w:tcPr>
          <w:p>
            <w:pPr>
              <w:pStyle w:val="TableContents"/>
              <w:spacing w:before="0" w:after="283"/>
              <w:rPr/>
            </w:pPr>
            <w:r>
              <w:rPr/>
              <w:t xml:space="preserve">  </w:t>
            </w:r>
          </w:p>
        </w:tc>
        <w:tc>
          <w:tcPr>
            <w:tcW w:w="8786" w:type="dxa"/>
            <w:tcBorders/>
            <w:shd w:fill="FFFFFF" w:val="clear"/>
            <w:tcMar>
              <w:bottom w:w="0" w:type="dxa"/>
            </w:tcMar>
          </w:tcPr>
          <w:p>
            <w:pPr>
              <w:pStyle w:val="TableContents"/>
              <w:spacing w:before="0" w:after="283"/>
              <w:rPr/>
            </w:pPr>
            <w:r>
              <w:rPr/>
              <w:t xml:space="preserve">  </w:t>
            </w:r>
          </w:p>
        </w:tc>
      </w:tr>
      <w:tr>
        <w:trPr/>
        <w:tc>
          <w:tcPr>
            <w:tcW w:w="1419" w:type="dxa"/>
            <w:tcBorders/>
            <w:shd w:fill="FFFFFF" w:val="clear"/>
            <w:tcMar>
              <w:bottom w:w="0" w:type="dxa"/>
            </w:tcMar>
          </w:tcPr>
          <w:p>
            <w:pPr>
              <w:pStyle w:val="TableContents"/>
              <w:spacing w:before="0" w:after="283"/>
              <w:rPr/>
            </w:pPr>
            <w:r>
              <w:rPr/>
              <w:t xml:space="preserve">  </w:t>
            </w:r>
          </w:p>
        </w:tc>
        <w:tc>
          <w:tcPr>
            <w:tcW w:w="8786" w:type="dxa"/>
            <w:tcBorders/>
            <w:shd w:fill="FFFFFF" w:val="clear"/>
            <w:tcMar>
              <w:bottom w:w="0" w:type="dxa"/>
            </w:tcMar>
          </w:tcPr>
          <w:p>
            <w:pPr>
              <w:pStyle w:val="TableContents"/>
              <w:spacing w:before="0" w:after="0"/>
              <w:ind w:left="0" w:right="18" w:hanging="0"/>
              <w:jc w:val="left"/>
              <w:rPr>
                <w:rFonts w:ascii="times new roman" w:hAnsi="times new roman"/>
                <w:sz w:val="20"/>
              </w:rPr>
            </w:pPr>
            <w:r>
              <w:rPr>
                <w:rFonts w:ascii="times new roman" w:hAnsi="times new roman"/>
                <w:sz w:val="20"/>
              </w:rPr>
              <w:t>Excerpt from page 15 of the Form SB-2 Registration Statement filed September 11, 2005</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Section 12 of the Securities Exchange Act of 1934, the registrant has duly caused this registration statement to be signed on its behalf by the undersigned, thereto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340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340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3401" w:type="dxa"/>
            <w:tcBorders/>
            <w:shd w:fill="auto" w:val="clear"/>
          </w:tcPr>
          <w:p>
            <w:pPr>
              <w:pStyle w:val="TableContents"/>
              <w:spacing w:before="0" w:after="283"/>
              <w:rPr/>
            </w:pPr>
            <w:r>
              <w:rPr/>
              <w:t xml:space="preserve">  </w:t>
            </w:r>
          </w:p>
        </w:tc>
        <w:tc>
          <w:tcPr>
            <w:tcW w:w="3402" w:type="dxa"/>
            <w:tcBorders/>
            <w:shd w:fill="auto" w:val="clear"/>
          </w:tcPr>
          <w:p>
            <w:pPr>
              <w:pStyle w:val="TableContents"/>
              <w:spacing w:before="0" w:after="283"/>
              <w:rPr/>
            </w:pPr>
            <w:r>
              <w:rPr/>
              <w:t xml:space="preserve">  </w:t>
            </w:r>
          </w:p>
        </w:tc>
        <w:tc>
          <w:tcPr>
            <w:tcW w:w="3402" w:type="dxa"/>
            <w:tcBorders/>
            <w:shd w:fill="auto" w:val="clear"/>
          </w:tcPr>
          <w:p>
            <w:pPr>
              <w:pStyle w:val="TableContents"/>
              <w:spacing w:before="0" w:after="283"/>
              <w:rPr/>
            </w:pPr>
            <w:r>
              <w:rPr/>
              <w:t xml:space="preserve">  </w:t>
            </w:r>
          </w:p>
        </w:tc>
      </w:tr>
      <w:tr>
        <w:trPr/>
        <w:tc>
          <w:tcPr>
            <w:tcW w:w="340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340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 Executive Officer</w:t>
            </w:r>
          </w:p>
        </w:tc>
        <w:tc>
          <w:tcPr>
            <w:tcW w:w="340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18, 2010</w:t>
            </w:r>
          </w:p>
        </w:tc>
      </w:tr>
      <w:tr>
        <w:trPr/>
        <w:tc>
          <w:tcPr>
            <w:tcW w:w="340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3402" w:type="dxa"/>
            <w:tcBorders/>
            <w:shd w:fill="auto" w:val="clear"/>
            <w:vAlign w:val="bottom"/>
          </w:tcPr>
          <w:p>
            <w:pPr>
              <w:pStyle w:val="TableContents"/>
              <w:spacing w:before="0" w:after="283"/>
              <w:rPr/>
            </w:pPr>
            <w:r>
              <w:rPr/>
              <w:t xml:space="preserve">  </w:t>
            </w:r>
          </w:p>
        </w:tc>
        <w:tc>
          <w:tcPr>
            <w:tcW w:w="3402"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ind w:left="0" w:right="0" w:hanging="0"/>
        <w:jc w:val="left"/>
        <w:rPr>
          <w:rFonts w:ascii="Times New Roman" w:hAnsi="Times New Roman"/>
          <w:b/>
          <w:sz w:val="32"/>
        </w:rPr>
      </w:pPr>
      <w:bookmarkStart w:id="22" w:name="excb_ex4.htm"/>
      <w:bookmarkStart w:id="23" w:name="ksexcb_ex4"/>
      <w:bookmarkEnd w:id="22"/>
      <w:bookmarkEnd w:id="23"/>
      <w:r>
        <w:rPr>
          <w:rFonts w:ascii="Times New Roman" w:hAnsi="Times New Roman"/>
          <w:b/>
          <w:sz w:val="32"/>
        </w:rPr>
        <w:t>Description of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Ltd.’s authorized capital stock consists of 200,000,000 shares of common stock, having a $0.001 par value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holders of our common stock: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 w:name="hangingindent"/>
      <w:bookmarkStart w:id="25" w:name="hangingindent"/>
      <w:bookmarkEnd w:id="25"/>
    </w:p>
    <w:tbl>
      <w:tblPr>
        <w:tblW w:w="5000" w:type="pct"/>
        <w:jc w:val="center"/>
        <w:tblInd w:w="0" w:type="dxa"/>
        <w:tblCellMar>
          <w:top w:w="0" w:type="dxa"/>
          <w:left w:w="0" w:type="dxa"/>
          <w:bottom w:w="0" w:type="dxa"/>
          <w:right w:w="0" w:type="dxa"/>
        </w:tblCellMar>
      </w:tblPr>
      <w:tblGrid>
        <w:gridCol w:w="116"/>
        <w:gridCol w:w="168"/>
        <w:gridCol w:w="9921"/>
      </w:tblGrid>
      <w:tr>
        <w:trPr/>
        <w:tc>
          <w:tcPr>
            <w:tcW w:w="116" w:type="dxa"/>
            <w:tcBorders/>
            <w:shd w:fill="auto" w:val="clear"/>
          </w:tcPr>
          <w:p>
            <w:pPr>
              <w:pStyle w:val="TableContents"/>
              <w:spacing w:before="0" w:after="0"/>
              <w:rPr/>
            </w:pPr>
            <w:r>
              <w:rPr/>
              <w:t xml:space="preserve">  </w:t>
            </w:r>
          </w:p>
        </w:tc>
        <w:tc>
          <w:tcPr>
            <w:tcW w:w="1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Have equal ratable rights to dividends from funds legally available therefor, when, as and if declared by our Board of Directors;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 w:name="hangingindent1"/>
      <w:bookmarkStart w:id="27" w:name="hangingindent1"/>
      <w:bookmarkEnd w:id="27"/>
    </w:p>
    <w:tbl>
      <w:tblPr>
        <w:tblW w:w="5000" w:type="pct"/>
        <w:jc w:val="center"/>
        <w:tblInd w:w="0" w:type="dxa"/>
        <w:tblCellMar>
          <w:top w:w="0" w:type="dxa"/>
          <w:left w:w="0" w:type="dxa"/>
          <w:bottom w:w="0" w:type="dxa"/>
          <w:right w:w="0" w:type="dxa"/>
        </w:tblCellMar>
      </w:tblPr>
      <w:tblGrid>
        <w:gridCol w:w="104"/>
        <w:gridCol w:w="158"/>
        <w:gridCol w:w="9943"/>
      </w:tblGrid>
      <w:tr>
        <w:trPr/>
        <w:tc>
          <w:tcPr>
            <w:tcW w:w="104" w:type="dxa"/>
            <w:tcBorders/>
            <w:shd w:fill="auto" w:val="clear"/>
          </w:tcPr>
          <w:p>
            <w:pPr>
              <w:pStyle w:val="TableContents"/>
              <w:spacing w:before="0" w:after="0"/>
              <w:rPr/>
            </w:pPr>
            <w:r>
              <w:rPr/>
              <w:t xml:space="preserve">  </w:t>
            </w:r>
          </w:p>
        </w:tc>
        <w:tc>
          <w:tcPr>
            <w:tcW w:w="1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Are entitled to share ratably in all of our assets available for distribution to holders of common stock upon liquidation, dissolution or winding up of our affairs;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 w:name="hangingindent2"/>
      <w:bookmarkStart w:id="29" w:name="hangingindent2"/>
      <w:bookmarkEnd w:id="29"/>
    </w:p>
    <w:tbl>
      <w:tblPr>
        <w:tblW w:w="5000" w:type="pct"/>
        <w:jc w:val="center"/>
        <w:tblInd w:w="0" w:type="dxa"/>
        <w:tblCellMar>
          <w:top w:w="0" w:type="dxa"/>
          <w:left w:w="0" w:type="dxa"/>
          <w:bottom w:w="0" w:type="dxa"/>
          <w:right w:w="0" w:type="dxa"/>
        </w:tblCellMar>
      </w:tblPr>
      <w:tblGrid>
        <w:gridCol w:w="116"/>
        <w:gridCol w:w="167"/>
        <w:gridCol w:w="9922"/>
      </w:tblGrid>
      <w:tr>
        <w:trPr/>
        <w:tc>
          <w:tcPr>
            <w:tcW w:w="116" w:type="dxa"/>
            <w:tcBorders/>
            <w:shd w:fill="auto" w:val="clear"/>
          </w:tcPr>
          <w:p>
            <w:pPr>
              <w:pStyle w:val="TableContents"/>
              <w:spacing w:before="0" w:after="0"/>
              <w:rPr/>
            </w:pPr>
            <w:r>
              <w:rPr/>
              <w:t xml:space="preserve">  </w:t>
            </w:r>
          </w:p>
        </w:tc>
        <w:tc>
          <w:tcPr>
            <w:tcW w:w="1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Do not have preemptive, subscription or conversion rights and there are no redemption or sinking fund provisions or rights;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 w:name="hangingindent3"/>
      <w:bookmarkStart w:id="31" w:name="hangingindent3"/>
      <w:bookmarkEnd w:id="31"/>
    </w:p>
    <w:tbl>
      <w:tblPr>
        <w:tblW w:w="5000" w:type="pct"/>
        <w:jc w:val="center"/>
        <w:tblInd w:w="0" w:type="dxa"/>
        <w:tblCellMar>
          <w:top w:w="0" w:type="dxa"/>
          <w:left w:w="0" w:type="dxa"/>
          <w:bottom w:w="0" w:type="dxa"/>
          <w:right w:w="0" w:type="dxa"/>
        </w:tblCellMar>
      </w:tblPr>
      <w:tblGrid>
        <w:gridCol w:w="178"/>
        <w:gridCol w:w="253"/>
        <w:gridCol w:w="9774"/>
      </w:tblGrid>
      <w:tr>
        <w:trPr/>
        <w:tc>
          <w:tcPr>
            <w:tcW w:w="178" w:type="dxa"/>
            <w:tcBorders/>
            <w:shd w:fill="auto" w:val="clear"/>
          </w:tcPr>
          <w:p>
            <w:pPr>
              <w:pStyle w:val="TableContents"/>
              <w:spacing w:before="0" w:after="0"/>
              <w:rPr/>
            </w:pPr>
            <w:r>
              <w:rPr/>
              <w:t xml:space="preserve">  </w:t>
            </w:r>
          </w:p>
        </w:tc>
        <w:tc>
          <w:tcPr>
            <w:tcW w:w="25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77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Are entitled to one vote per share on all matters on which stockholders may vote.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shares of common stock now outstanding are fully paid for and non assessable and all shares of common stock which are the subject of this offering, when issued, will be fully paid for and non assessable.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SEC has adopted rules that regulate broker/dealer practices in connection with transactions in penny stocks.  Penny stocks generally are equity securities with a price of less than $5.00 (other than securities registered on certain national securities exchanges or quoted on the Nasdaq system, provided that current price and volume information with respect to transactions in such securities is provided by the exchange system).  The penny stock rules require a broker/dealer, prior to a transaction in a penny stock not otherwise exempt from the rules, to deliver a standardized risk disclosure document prepared by the SEC that provides information about penny stocks and the nature and level of risks in the penny stock market.  The broker/dealer also must provide the customer with bid and offer quotations f or the penny stock, the compensation of the broker/dealer, and its salesperson in the transaction, and monthly account statements showing the market value of each penny stock held in the customer’s account.  In addition, the penny stock rules require that prior to a transaction in a penny stock not otherwise exempt from such rules, the broker/dealer must make a special written determination that a penny stock is a suitable investment for the purchaser and receive the purchaser’s written agreement to the transaction.  These heightened disclosure requirements may have the effect of reducing the number of broker/dealers willing to make a market in our shares, reducing the level of trading activity in any secondary market that may develop for our shares, and accordingly, customers in our securities may find it difficult to sell their securities, if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 current plans to neither issue any preferred stock nor adopt any series, preferences or other classification of preferred stock.  The Board of Directors is authorized to (i) provide for the issuance of shares of the authorized preferred stock in series and (ii) by filing a certificate pursuant to the law of Nevada, to establish from time to time the number of shares to be included in each such series and to fix the designation, powers, preferences and rights of the shares of each such series and the qualifications, limitations or restrictions thereof, all without any further vote or action by the stockholders.  Any shares of issued preferred stock would have priority over the common stock with respect to dividend or liquidation rights.  Any future issuance of preferred stock may have the effect of delaying, deferring or preventing a change in control of our Company without further action by the stockholders and may adversely affect the voting and other rights of the holders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issuance of shares of preferred stock, or the issuance of rights to purchase such shares, could be used to discourage an unsolicited acquisition proposal.  For instance, the issuance of a series of preferred stock might impede a business combination by including class voting rights that would enable the holder to block such a transaction, or facilitate a business combination by including voting rights that would provide a required percentage vote of the stockholders.  In addition, under certain circumstances, the issuance of preferred stock could adversely affect the voting power of the holders of the common stock.  Although the Board of Directors is required to make any determination to issue such stock based on its judgment as to the best interests of our stockholders, the Board of Directors could ac t in a manner that would discourage an acquisition attempt or other transaction that potentially some, or a majority, of the stockholders might believe to be in their best interests or in which stockholders might receive a premium for their stock over the then market price of such stock.  The Board of Directors does not at present intend to seek stockholder approval prior to any issuance of currently authorized stock, unless otherwise required by law or stock exchange rules.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Non-Cumulative Voting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Holders of shares of Excaliber Enterprises, Ltd.'s common stock do not have cumulative voting rights, which means that the holders of more than 50% of the outstanding shares, voting for the election of directors, can elect all of the directors to be elected, if they so choose, and, in such event, the holders of the remaining shares will not be able to elect any of our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Cash Dividends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prospectus, Excaliber Enterprises, Ltd. has not paid any cash dividends to stockholders.  The declaration of any future cash dividend will be at the discretion of our board of directors and will depend upon our earnings, if any, capital requirements and financial position, general economic conditions, and other pertinent conditions.  It is the present intention of Excaliber Enterprises not to pay any cash dividends in the foreseeable future, but rather to reinvest earnings, if any, in our business operations.</w:t>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1299</Words>
  <CharactersWithSpaces>8203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