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2282013_010259.htm"/>
      <w:bookmarkStart w:id="1" w:name="ksform8k02282013_010259"/>
      <w:bookmarkStart w:id="2" w:name="form8k-02282013_010259.htm"/>
      <w:bookmarkStart w:id="3" w:name="ksform8k02282013_010259"/>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February 22, 2013</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1.01 Entry into a Material Definitive Agreement.</w:t>
      </w:r>
    </w:p>
    <w:p>
      <w:pPr>
        <w:pStyle w:val="TextBody"/>
        <w:jc w:val="left"/>
        <w:rPr>
          <w:rFonts w:ascii="Times New Roman" w:hAnsi="Times New Roman"/>
          <w:sz w:val="17"/>
        </w:rPr>
      </w:pPr>
      <w:r>
        <w:rPr>
          <w:rFonts w:ascii="Times New Roman" w:hAnsi="Times New Roman"/>
          <w:sz w:val="17"/>
        </w:rPr>
        <w:t xml:space="preserve">On February 22, 2013, VistaGen Therapeutics, Inc. (the "Company"), certain subsidiaries of the Company, and Platinum Long Term Growth VII, LLC ("Platinum"), entered into an amendment ("Amendment") to the Note Exchange and Purchase Agreement, dated October 11, 2012 (the "Agreement"), by and between the Company and Platinum, and previously reported on a Current Report on Form 8-K filed with the Securities and Exchange Commission on October 16, 2012. Pursuant to the Amendment, the Company permitted Platinum to purchase the final $1.0 million senior secured promissory note under the Agreement in two tranches (each, an "Investment Note"), rather than in a single tranche completed on or before February 22, 2013. The Investment Note matures three years from the date of issuance (the "Maturity Date"). Subject to certain conditions set forth in the Investment Note, upon the Maturity Date, all principal and accrued interest under the Investment Note is payable through the issuance to Platinum of restricted shares of the Company's common stock. </w:t>
        <w:br/>
        <w:br/>
        <w:t>On February 22, 2013, Platinum purchased an Investment Note in the principal amount of $250,000. Unless the parties agree otherwise, Platinum is required to purchase the final Investment Note under the Agreement, in the principal amount of $750,000, on or before March 12, 2013.</w:t>
      </w:r>
    </w:p>
    <w:p>
      <w:pPr>
        <w:pStyle w:val="TextBody"/>
        <w:jc w:val="left"/>
        <w:rPr>
          <w:rFonts w:ascii="Times New Roman" w:hAnsi="Times New Roman"/>
          <w:b/>
          <w:sz w:val="17"/>
        </w:rPr>
      </w:pPr>
      <w:r>
        <w:rPr>
          <w:rFonts w:ascii="Times New Roman" w:hAnsi="Times New Roman"/>
          <w:b/>
          <w:sz w:val="17"/>
        </w:rPr>
        <w:t>Item 2.03 Creation of a Direct Financial Obligation or an Obligation Under an Off-Balance Sheet Arrangement of a Registrant.</w:t>
      </w:r>
    </w:p>
    <w:p>
      <w:pPr>
        <w:pStyle w:val="TextBody"/>
        <w:jc w:val="left"/>
        <w:rPr>
          <w:rFonts w:ascii="Times New Roman" w:hAnsi="Times New Roman"/>
          <w:sz w:val="17"/>
        </w:rPr>
      </w:pPr>
      <w:r>
        <w:rPr>
          <w:rFonts w:ascii="Times New Roman" w:hAnsi="Times New Roman"/>
          <w:sz w:val="17"/>
        </w:rPr>
        <w:t>On February 22, 2013, as contemplated under the terms of the Amendment, the Company sold and issued an Investment Note to Platinum in the principal amount of $250,000, and a warrant to purchase 250,000 shares of the Company's common stock at a price of $1.50 per share, exercisable over a five-year term (the "Investment Warrant").</w:t>
      </w:r>
    </w:p>
    <w:p>
      <w:pPr>
        <w:pStyle w:val="TextBody"/>
        <w:jc w:val="left"/>
        <w:rPr>
          <w:rFonts w:ascii="Times New Roman" w:hAnsi="Times New Roman"/>
          <w:b/>
          <w:sz w:val="17"/>
        </w:rPr>
      </w:pPr>
      <w:r>
        <w:rPr>
          <w:rFonts w:ascii="Times New Roman" w:hAnsi="Times New Roman"/>
          <w:b/>
          <w:sz w:val="17"/>
        </w:rPr>
        <w:t>Item 3.02 Unregistered Sales of Equity Securities.</w:t>
      </w:r>
    </w:p>
    <w:p>
      <w:pPr>
        <w:pStyle w:val="TextBody"/>
        <w:jc w:val="left"/>
        <w:rPr>
          <w:rFonts w:ascii="Times New Roman" w:hAnsi="Times New Roman"/>
          <w:sz w:val="17"/>
        </w:rPr>
      </w:pPr>
      <w:r>
        <w:rPr>
          <w:rFonts w:ascii="Times New Roman" w:hAnsi="Times New Roman"/>
          <w:sz w:val="17"/>
        </w:rPr>
        <w:t>The Investment Note and the Investment Warrant were offered and sold in transactions exempt from registration under the Securities Act of 1933, as amended ("Securities Act"), in reliance on Section 4(2) thereof and Rule 506 of Regulation D thereunder. Platinum represented that it was an "accredited investor" as defined in Regulation D. The proceeds from the sale of the Investment Note and the proceeds received upon exercise of the Investment Warrants are expected to be used for general corporate purposes.</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TextBody"/>
        <w:jc w:val="left"/>
        <w:rPr>
          <w:rFonts w:ascii="Times New Roman" w:hAnsi="Times New Roman"/>
          <w:b/>
          <w:sz w:val="17"/>
        </w:rPr>
      </w:pPr>
      <w:r>
        <w:rPr>
          <w:rFonts w:ascii="Times New Roman" w:hAnsi="Times New Roman"/>
          <w:b/>
          <w:sz w:val="17"/>
        </w:rPr>
        <w:t>Disclaimer.</w:t>
      </w:r>
    </w:p>
    <w:p>
      <w:pPr>
        <w:pStyle w:val="TextBody"/>
        <w:jc w:val="left"/>
        <w:rPr>
          <w:rFonts w:ascii="Times New Roman" w:hAnsi="Times New Roman"/>
          <w:sz w:val="17"/>
        </w:rPr>
      </w:pPr>
      <w:r>
        <w:rPr>
          <w:rFonts w:ascii="Times New Roman" w:hAnsi="Times New Roman"/>
          <w:sz w:val="17"/>
        </w:rPr>
        <w:t>The foregoing descriptions of Amendment, Investment Note and Investment Warrant do not purport to be complete, and are qualified in their entirety by reference to the full text of the Amendment, which is attached hereto as Exhibit 10.1, and the full text of the Investment Note and Investment Warrant, forms of which are attached as Exhibit 10.2 and 10.3, respectively to the Current Report on Form 8-K filed with the Securities and Exchange Commission on October, 16, 2012, and are incorporated herein by reference.</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February 28, 2013</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February 28, 2013</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0"/>
        <w:gridCol w:w="313"/>
        <w:gridCol w:w="8852"/>
      </w:tblGrid>
      <w:tr>
        <w:trPr/>
        <w:tc>
          <w:tcPr>
            <w:tcW w:w="1040"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3" w:type="dxa"/>
            <w:tcBorders/>
            <w:shd w:fill="auto" w:val="clear"/>
          </w:tcPr>
          <w:p>
            <w:pPr>
              <w:pStyle w:val="TableContents"/>
              <w:spacing w:before="0" w:after="283"/>
              <w:jc w:val="left"/>
              <w:rPr/>
            </w:pPr>
            <w:r>
              <w:rPr/>
              <w:t xml:space="preserve">   </w:t>
            </w:r>
          </w:p>
        </w:tc>
        <w:tc>
          <w:tcPr>
            <w:tcW w:w="8852"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EX-10.1</w:t>
            </w:r>
          </w:p>
        </w:tc>
        <w:tc>
          <w:tcPr>
            <w:tcW w:w="313" w:type="dxa"/>
            <w:tcBorders/>
            <w:shd w:fill="auto" w:val="clear"/>
          </w:tcPr>
          <w:p>
            <w:pPr>
              <w:pStyle w:val="TableContents"/>
              <w:spacing w:before="0" w:after="283"/>
              <w:jc w:val="left"/>
              <w:rPr/>
            </w:pPr>
            <w:r>
              <w:rPr/>
              <w:t xml:space="preserve">   </w:t>
            </w:r>
          </w:p>
        </w:tc>
        <w:tc>
          <w:tcPr>
            <w:tcW w:w="885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Amendment to Note Exchange and Purchase Agreement, dated February 22, 2013</w:t>
            </w:r>
          </w:p>
        </w:tc>
      </w:tr>
    </w:tbl>
    <w:p>
      <w:pPr>
        <w:pStyle w:val="TextBody"/>
        <w:spacing w:before="0" w:after="0"/>
        <w:ind w:left="0" w:right="0" w:hanging="0"/>
        <w:jc w:val="center"/>
        <w:rPr>
          <w:b/>
          <w:sz w:val="18"/>
        </w:rPr>
      </w:pPr>
      <w:r>
        <w:br w:type="page"/>
      </w:r>
      <w:bookmarkStart w:id="4" w:name="ex10-02282013_010201.htm"/>
      <w:bookmarkStart w:id="5" w:name="ksex1002282013_010201"/>
      <w:bookmarkEnd w:id="4"/>
      <w:bookmarkEnd w:id="5"/>
      <w:r>
        <w:rPr>
          <w:b/>
          <w:sz w:val="18"/>
        </w:rPr>
        <w:t>AMENDMENT NO. 3 TO NOTE EXCHANGE AND PURCHASE AGREEMENT</w:t>
      </w:r>
    </w:p>
    <w:p>
      <w:pPr>
        <w:pStyle w:val="TextBody"/>
        <w:spacing w:before="0" w:after="0"/>
        <w:ind w:left="0" w:right="0" w:hanging="0"/>
        <w:jc w:val="both"/>
        <w:rPr/>
      </w:pPr>
      <w:r>
        <w:rPr/>
      </w:r>
    </w:p>
    <w:p>
      <w:pPr>
        <w:pStyle w:val="TextBody"/>
        <w:spacing w:before="0" w:after="0"/>
        <w:ind w:left="0" w:right="0" w:firstLine="720"/>
        <w:jc w:val="both"/>
        <w:rPr>
          <w:sz w:val="18"/>
        </w:rPr>
      </w:pPr>
      <w:r>
        <w:rPr>
          <w:sz w:val="18"/>
        </w:rPr>
        <w:t>This Amendment to Note Exchange and Purchase Agreement (“</w:t>
      </w:r>
      <w:r>
        <w:rPr>
          <w:sz w:val="18"/>
          <w:u w:val="single"/>
        </w:rPr>
        <w:t>Amendment No. 3</w:t>
      </w:r>
      <w:r>
        <w:rPr>
          <w:sz w:val="18"/>
        </w:rPr>
        <w:t>”) is entered into as of February 22, 2013 by and between VistaGen Therapeutics, Inc., a Nevada corporation (the “</w:t>
      </w:r>
      <w:r>
        <w:rPr>
          <w:sz w:val="18"/>
          <w:u w:val="single"/>
        </w:rPr>
        <w:t>Company</w:t>
      </w:r>
      <w:r>
        <w:rPr>
          <w:sz w:val="18"/>
        </w:rPr>
        <w:t>”) and Platinum Long Term Growth VII, LLC, a Delaware limited liability company (“</w:t>
      </w:r>
      <w:r>
        <w:rPr>
          <w:sz w:val="18"/>
          <w:u w:val="single"/>
        </w:rPr>
        <w:t>Platinum</w:t>
      </w:r>
      <w:r>
        <w:rPr>
          <w:sz w:val="18"/>
        </w:rPr>
        <w:t>”).  Unless otherwise specified herein, all capitalized terms set forth in this Amendment shall have the meanings as set forth in the Agreement.</w:t>
      </w:r>
    </w:p>
    <w:p>
      <w:pPr>
        <w:pStyle w:val="TextBody"/>
        <w:spacing w:before="0" w:after="0"/>
        <w:ind w:left="0" w:right="0" w:hanging="0"/>
        <w:jc w:val="both"/>
        <w:rPr/>
      </w:pPr>
      <w:r>
        <w:rPr/>
      </w:r>
    </w:p>
    <w:p>
      <w:pPr>
        <w:pStyle w:val="TextBody"/>
        <w:spacing w:before="0" w:after="0"/>
        <w:ind w:left="0" w:right="0" w:hanging="0"/>
        <w:jc w:val="center"/>
        <w:rPr>
          <w:b/>
          <w:sz w:val="18"/>
        </w:rPr>
      </w:pPr>
      <w:r>
        <w:rPr>
          <w:b/>
          <w:sz w:val="18"/>
        </w:rPr>
        <w:t>RECITALS</w:t>
      </w:r>
    </w:p>
    <w:p>
      <w:pPr>
        <w:pStyle w:val="TextBody"/>
        <w:spacing w:before="0" w:after="0"/>
        <w:ind w:left="0" w:right="0" w:hanging="0"/>
        <w:jc w:val="both"/>
        <w:rPr/>
      </w:pPr>
      <w:r>
        <w:rPr/>
      </w:r>
    </w:p>
    <w:p>
      <w:pPr>
        <w:pStyle w:val="TextBody"/>
        <w:spacing w:before="0" w:after="0"/>
        <w:ind w:left="0" w:right="0" w:firstLine="720"/>
        <w:jc w:val="both"/>
        <w:rPr>
          <w:sz w:val="18"/>
        </w:rPr>
      </w:pPr>
      <w:r>
        <w:rPr>
          <w:b/>
          <w:sz w:val="18"/>
        </w:rPr>
        <w:t>WHEREAS</w:t>
      </w:r>
      <w:r>
        <w:rPr>
          <w:sz w:val="18"/>
        </w:rPr>
        <w:t>, the Company and Platinum entered into that certain Note Exchange and Purchase Agreement, dated October 11, 2012 (the “</w:t>
      </w:r>
      <w:r>
        <w:rPr>
          <w:sz w:val="18"/>
          <w:u w:val="single"/>
        </w:rPr>
        <w:t>Agreement</w:t>
      </w:r>
      <w:r>
        <w:rPr>
          <w:sz w:val="18"/>
        </w:rPr>
        <w:t>”), pursuant to which, subject to the terms and conditions thereof, Platinum agreed to purchase from the Company senior secured convertible promissory notes (“</w:t>
      </w:r>
      <w:r>
        <w:rPr>
          <w:sz w:val="18"/>
          <w:u w:val="single"/>
        </w:rPr>
        <w:t>Notes</w:t>
      </w:r>
      <w:r>
        <w:rPr>
          <w:sz w:val="18"/>
        </w:rPr>
        <w:t xml:space="preserve">”) in the aggregate principal amount of up to $2.0 million, issuable in four separate tranches of $500,000 each.  A copy of the Agreement is attached hereto as </w:t>
      </w:r>
      <w:r>
        <w:rPr>
          <w:sz w:val="18"/>
          <w:u w:val="single"/>
        </w:rPr>
        <w:t>Exhibit A</w:t>
      </w:r>
      <w:r>
        <w:rPr>
          <w:sz w:val="18"/>
        </w:rPr>
        <w:t>;</w:t>
      </w:r>
    </w:p>
    <w:p>
      <w:pPr>
        <w:pStyle w:val="TextBody"/>
        <w:spacing w:before="0" w:after="0"/>
        <w:ind w:left="0" w:right="0" w:hanging="0"/>
        <w:jc w:val="both"/>
        <w:rPr/>
      </w:pPr>
      <w:r>
        <w:rPr/>
      </w:r>
    </w:p>
    <w:p>
      <w:pPr>
        <w:pStyle w:val="TextBody"/>
        <w:spacing w:before="0" w:after="0"/>
        <w:ind w:left="0" w:right="0" w:firstLine="720"/>
        <w:jc w:val="both"/>
        <w:rPr>
          <w:sz w:val="18"/>
        </w:rPr>
      </w:pPr>
      <w:r>
        <w:rPr>
          <w:b/>
          <w:sz w:val="18"/>
        </w:rPr>
        <w:t>WHEREAS</w:t>
      </w:r>
      <w:r>
        <w:rPr>
          <w:sz w:val="18"/>
        </w:rPr>
        <w:t>, on November 14, 2012, the Company and Platinum entered into an amendment to the Agreement, which combined the final two $500,000 Notes into a single Note in the principal amount of $1.0 million (the “</w:t>
      </w:r>
      <w:r>
        <w:rPr>
          <w:sz w:val="18"/>
          <w:u w:val="single"/>
        </w:rPr>
        <w:t>$1.0 Million Note</w:t>
      </w:r>
      <w:r>
        <w:rPr>
          <w:sz w:val="18"/>
        </w:rPr>
        <w:t>”), to be purchased by Platinum within five business days of the Company's notice to Platinum of the consummation of a debt or equity financing, or combination of financings, prior to January 31, 2013, resulting in gross proceeds to the Company of at least $1.0 million (the “</w:t>
      </w:r>
      <w:r>
        <w:rPr>
          <w:sz w:val="18"/>
          <w:u w:val="single"/>
        </w:rPr>
        <w:t>Additional Closing Condition</w:t>
      </w:r>
      <w:r>
        <w:rPr>
          <w:sz w:val="18"/>
        </w:rPr>
        <w:t xml:space="preserve">”); </w:t>
      </w:r>
    </w:p>
    <w:p>
      <w:pPr>
        <w:pStyle w:val="TextBody"/>
        <w:spacing w:before="0" w:after="0"/>
        <w:ind w:left="0" w:right="0" w:hanging="0"/>
        <w:jc w:val="both"/>
        <w:rPr/>
      </w:pPr>
      <w:r>
        <w:rPr/>
      </w:r>
    </w:p>
    <w:p>
      <w:pPr>
        <w:pStyle w:val="TextBody"/>
        <w:spacing w:before="0" w:after="0"/>
        <w:ind w:left="0" w:right="0" w:firstLine="720"/>
        <w:jc w:val="both"/>
        <w:rPr>
          <w:sz w:val="18"/>
        </w:rPr>
      </w:pPr>
      <w:r>
        <w:rPr>
          <w:b/>
          <w:sz w:val="18"/>
        </w:rPr>
        <w:t>WHEREAS</w:t>
      </w:r>
      <w:r>
        <w:rPr>
          <w:sz w:val="18"/>
        </w:rPr>
        <w:t>, on January 31, 2013, the Company and Platinum entered into a second amendment to the Agreement, which permitted the Company to satisfy the Additional Closing Condition on or before February 14, 2013.  The Company satisfied the Additional Closing Condition by delivering notice thereof  to Platinum on February 14, 2013; and</w:t>
      </w:r>
    </w:p>
    <w:p>
      <w:pPr>
        <w:pStyle w:val="TextBody"/>
        <w:spacing w:before="0" w:after="0"/>
        <w:ind w:left="0" w:right="0" w:hanging="0"/>
        <w:jc w:val="both"/>
        <w:rPr/>
      </w:pPr>
      <w:r>
        <w:rPr/>
        <w:t> </w:t>
      </w:r>
    </w:p>
    <w:p>
      <w:pPr>
        <w:pStyle w:val="TextBody"/>
        <w:spacing w:before="0" w:after="0"/>
        <w:ind w:left="0" w:right="0" w:firstLine="720"/>
        <w:jc w:val="both"/>
        <w:rPr>
          <w:sz w:val="18"/>
        </w:rPr>
      </w:pPr>
      <w:r>
        <w:rPr>
          <w:b/>
          <w:sz w:val="18"/>
        </w:rPr>
        <w:t>WHEREAS</w:t>
      </w:r>
      <w:r>
        <w:rPr>
          <w:sz w:val="18"/>
        </w:rPr>
        <w:t>, the Company and Platinum desire to amend the Agreement to permit Platinum to purchase the final $1.0 Million Note in two separate tranches, as more particularly set forth in this Amendment No. 3.  </w:t>
      </w:r>
    </w:p>
    <w:p>
      <w:pPr>
        <w:pStyle w:val="TextBody"/>
        <w:spacing w:before="0" w:after="0"/>
        <w:ind w:left="0" w:right="0" w:hanging="0"/>
        <w:jc w:val="both"/>
        <w:rPr/>
      </w:pPr>
      <w:r>
        <w:rPr/>
      </w:r>
    </w:p>
    <w:p>
      <w:pPr>
        <w:pStyle w:val="TextBody"/>
        <w:spacing w:before="0" w:after="0"/>
        <w:ind w:left="0" w:right="0" w:hanging="0"/>
        <w:jc w:val="center"/>
        <w:rPr>
          <w:b/>
          <w:sz w:val="18"/>
        </w:rPr>
      </w:pPr>
      <w:r>
        <w:rPr>
          <w:b/>
          <w:sz w:val="18"/>
        </w:rPr>
        <w:t>AGREEMENT</w:t>
      </w:r>
    </w:p>
    <w:p>
      <w:pPr>
        <w:pStyle w:val="TextBody"/>
        <w:spacing w:before="0" w:after="0"/>
        <w:ind w:left="0" w:right="0" w:hanging="0"/>
        <w:jc w:val="center"/>
        <w:rPr/>
      </w:pPr>
      <w:r>
        <w:rPr/>
      </w:r>
    </w:p>
    <w:p>
      <w:pPr>
        <w:pStyle w:val="TextBody"/>
        <w:spacing w:before="0" w:after="0"/>
        <w:ind w:left="0" w:right="0" w:firstLine="720"/>
        <w:jc w:val="both"/>
        <w:rPr>
          <w:sz w:val="18"/>
        </w:rPr>
      </w:pPr>
      <w:r>
        <w:rPr>
          <w:sz w:val="18"/>
        </w:rPr>
        <w:t>For good and valuable consideration, the receipt and sufficiency of which is hereby acknowledged, the undersigned parties agree as follows:</w:t>
      </w:r>
    </w:p>
    <w:p>
      <w:pPr>
        <w:pStyle w:val="TextBody"/>
        <w:spacing w:before="0" w:after="0"/>
        <w:ind w:left="0" w:right="0" w:hanging="0"/>
        <w:rPr/>
      </w:pPr>
      <w:r>
        <w:rPr/>
      </w:r>
    </w:p>
    <w:p>
      <w:pPr>
        <w:pStyle w:val="TextBody"/>
        <w:spacing w:before="0" w:after="0"/>
        <w:ind w:left="0" w:right="0" w:hanging="30"/>
        <w:rPr>
          <w:sz w:val="18"/>
        </w:rPr>
      </w:pPr>
      <w:r>
        <w:rPr>
          <w:sz w:val="18"/>
          <w:u w:val="single"/>
        </w:rPr>
        <w:t>Section 2.1</w:t>
      </w:r>
      <w:r>
        <w:rPr>
          <w:sz w:val="18"/>
        </w:rPr>
        <w:t xml:space="preserve"> of the Agreement is hereby amended and replaced in its entirety with the following:</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45415"/>
                <wp:effectExtent l="0" t="0" r="0" b="0"/>
                <wp:wrapSquare wrapText="largest"/>
                <wp:docPr id="7" name="Frame7"/>
                <a:graphic xmlns:a="http://schemas.openxmlformats.org/drawingml/2006/main">
                  <a:graphicData uri="http://schemas.microsoft.com/office/word/2010/wordprocessingShape">
                    <wps:wsp>
                      <wps:cNvSpPr txBox="1"/>
                      <wps:spPr>
                        <a:xfrm>
                          <a:off x="0" y="0"/>
                          <a:ext cx="457200" cy="145415"/>
                        </a:xfrm>
                        <a:prstGeom prst="rect"/>
                      </wps:spPr>
                      <wps:txbx>
                        <w:txbxContent>
                          <w:p>
                            <w:pPr>
                              <w:pStyle w:val="TextBody"/>
                              <w:spacing w:before="0" w:after="283"/>
                              <w:rPr>
                                <w:sz w:val="20"/>
                              </w:rPr>
                            </w:pPr>
                            <w:r>
                              <w:rPr>
                                <w:sz w:val="20"/>
                              </w:rPr>
                              <w:t>1.</w:t>
                            </w:r>
                          </w:p>
                        </w:txbxContent>
                      </wps:txbx>
                      <wps:bodyPr anchor="t" lIns="0" tIns="0" rIns="0" bIns="0">
                        <a:noAutofit/>
                      </wps:bodyPr>
                    </wps:wsp>
                  </a:graphicData>
                </a:graphic>
              </wp:anchor>
            </w:drawing>
          </mc:Choice>
          <mc:Fallback>
            <w:pict>
              <v:rect style="position:absolute;rotation:0;width:36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b/>
          <w:sz w:val="18"/>
        </w:rPr>
      </w:pPr>
      <w:r>
        <w:rPr>
          <w:b/>
          <w:sz w:val="18"/>
        </w:rPr>
        <w:t>Section 2.1     </w:t>
      </w:r>
      <w:r>
        <w:rPr>
          <w:b/>
          <w:sz w:val="18"/>
          <w:u w:val="single"/>
        </w:rPr>
        <w:t>Amounts; Timing of Funding</w:t>
      </w:r>
    </w:p>
    <w:p>
      <w:pPr>
        <w:pStyle w:val="TextBody"/>
        <w:spacing w:before="0" w:after="0"/>
        <w:ind w:left="0" w:right="0" w:hanging="0"/>
        <w:rPr/>
      </w:pPr>
      <w:r>
        <w:rPr/>
      </w:r>
    </w:p>
    <w:p>
      <w:pPr>
        <w:pStyle w:val="TextBody"/>
        <w:spacing w:before="0" w:after="0"/>
        <w:ind w:left="0" w:right="0" w:firstLine="720"/>
        <w:rPr>
          <w:sz w:val="18"/>
        </w:rPr>
      </w:pPr>
      <w:r>
        <w:rPr>
          <w:sz w:val="18"/>
        </w:rPr>
        <w:t xml:space="preserve">Subject to satisfaction of the conditions precedent set forth in </w:t>
      </w:r>
      <w:r>
        <w:rPr>
          <w:sz w:val="18"/>
          <w:u w:val="single"/>
        </w:rPr>
        <w:t>Section 4.4</w:t>
      </w:r>
      <w:r>
        <w:rPr>
          <w:sz w:val="18"/>
        </w:rPr>
        <w:t xml:space="preserve"> below, Platinum agrees to make the following Investments no later than the following dates (each such date, an “</w:t>
      </w:r>
      <w:r>
        <w:rPr>
          <w:sz w:val="18"/>
          <w:u w:val="single"/>
        </w:rPr>
        <w:t>Investment Date</w:t>
      </w:r>
      <w:r>
        <w:rPr>
          <w:sz w:val="18"/>
        </w:rPr>
        <w:t>”):</w:t>
      </w:r>
    </w:p>
    <w:p>
      <w:pPr>
        <w:pStyle w:val="TextBody"/>
        <w:spacing w:before="0" w:after="0"/>
        <w:ind w:left="0" w:right="0" w:hanging="0"/>
        <w:rPr/>
      </w:pPr>
      <w:r>
        <w:rPr/>
      </w:r>
    </w:p>
    <w:tbl>
      <w:tblPr>
        <w:tblW w:w="8310" w:type="dxa"/>
        <w:jc w:val="center"/>
        <w:tblInd w:w="0" w:type="dxa"/>
        <w:tblCellMar>
          <w:top w:w="0" w:type="dxa"/>
          <w:left w:w="0" w:type="dxa"/>
          <w:bottom w:w="0" w:type="dxa"/>
          <w:right w:w="0" w:type="dxa"/>
        </w:tblCellMar>
      </w:tblPr>
      <w:tblGrid>
        <w:gridCol w:w="4785"/>
        <w:gridCol w:w="3525"/>
      </w:tblGrid>
      <w:tr>
        <w:trPr/>
        <w:tc>
          <w:tcPr>
            <w:tcW w:w="4785" w:type="dxa"/>
            <w:tcBorders/>
            <w:shd w:fill="auto" w:val="clear"/>
            <w:vAlign w:val="center"/>
          </w:tcPr>
          <w:p>
            <w:pPr>
              <w:pStyle w:val="TableContents"/>
              <w:spacing w:before="0" w:after="283"/>
              <w:rPr>
                <w:sz w:val="4"/>
                <w:szCs w:val="4"/>
              </w:rPr>
            </w:pPr>
            <w:r>
              <w:rPr>
                <w:sz w:val="4"/>
                <w:szCs w:val="4"/>
              </w:rPr>
            </w:r>
          </w:p>
        </w:tc>
        <w:tc>
          <w:tcPr>
            <w:tcW w:w="3525" w:type="dxa"/>
            <w:tcBorders/>
            <w:shd w:fill="auto" w:val="clear"/>
            <w:vAlign w:val="center"/>
          </w:tcPr>
          <w:p>
            <w:pPr>
              <w:pStyle w:val="TableContents"/>
              <w:spacing w:before="0" w:after="283"/>
              <w:ind w:left="0" w:right="0" w:firstLine="60"/>
              <w:rPr>
                <w:sz w:val="4"/>
                <w:szCs w:val="4"/>
              </w:rPr>
            </w:pPr>
            <w:r>
              <w:rPr>
                <w:sz w:val="4"/>
                <w:szCs w:val="4"/>
              </w:rPr>
            </w:r>
          </w:p>
        </w:tc>
      </w:tr>
      <w:tr>
        <w:trPr/>
        <w:tc>
          <w:tcPr>
            <w:tcW w:w="4785" w:type="dxa"/>
            <w:tcBorders/>
            <w:shd w:fill="auto" w:val="clear"/>
          </w:tcPr>
          <w:p>
            <w:pPr>
              <w:pStyle w:val="TableContents"/>
              <w:spacing w:before="0" w:after="0"/>
              <w:ind w:left="0" w:right="0" w:firstLine="60"/>
              <w:jc w:val="center"/>
              <w:rPr>
                <w:b/>
                <w:sz w:val="18"/>
                <w:u w:val="single"/>
              </w:rPr>
            </w:pPr>
            <w:r>
              <w:rPr>
                <w:b/>
                <w:sz w:val="18"/>
                <w:u w:val="single"/>
              </w:rPr>
              <w:t>Investment Date</w:t>
            </w:r>
          </w:p>
        </w:tc>
        <w:tc>
          <w:tcPr>
            <w:tcW w:w="3525" w:type="dxa"/>
            <w:tcBorders/>
            <w:shd w:fill="auto" w:val="clear"/>
          </w:tcPr>
          <w:p>
            <w:pPr>
              <w:pStyle w:val="TableContents"/>
              <w:spacing w:before="0" w:after="0"/>
              <w:ind w:left="0" w:right="0" w:firstLine="60"/>
              <w:jc w:val="center"/>
              <w:rPr>
                <w:b/>
                <w:sz w:val="18"/>
                <w:u w:val="single"/>
              </w:rPr>
            </w:pPr>
            <w:r>
              <w:rPr>
                <w:b/>
                <w:sz w:val="18"/>
                <w:u w:val="single"/>
              </w:rPr>
              <w:t>Amount of Investment</w:t>
            </w:r>
          </w:p>
        </w:tc>
      </w:tr>
      <w:tr>
        <w:trPr/>
        <w:tc>
          <w:tcPr>
            <w:tcW w:w="4785" w:type="dxa"/>
            <w:tcBorders/>
            <w:shd w:fill="auto" w:val="clear"/>
          </w:tcPr>
          <w:p>
            <w:pPr>
              <w:pStyle w:val="TableContents"/>
              <w:spacing w:before="0" w:after="0"/>
              <w:ind w:left="0" w:right="0" w:firstLine="60"/>
              <w:jc w:val="center"/>
              <w:rPr>
                <w:sz w:val="18"/>
              </w:rPr>
            </w:pPr>
            <w:r>
              <w:rPr>
                <w:sz w:val="18"/>
              </w:rPr>
              <w:t>On or before October 11, 2012</w:t>
            </w:r>
          </w:p>
        </w:tc>
        <w:tc>
          <w:tcPr>
            <w:tcW w:w="3525" w:type="dxa"/>
            <w:tcBorders/>
            <w:shd w:fill="auto" w:val="clear"/>
          </w:tcPr>
          <w:p>
            <w:pPr>
              <w:pStyle w:val="TableContents"/>
              <w:spacing w:before="0" w:after="0"/>
              <w:ind w:left="0" w:right="0" w:firstLine="60"/>
              <w:jc w:val="center"/>
              <w:rPr>
                <w:sz w:val="18"/>
              </w:rPr>
            </w:pPr>
            <w:r>
              <w:rPr>
                <w:sz w:val="18"/>
              </w:rPr>
              <w:t>$500,000</w:t>
            </w:r>
          </w:p>
        </w:tc>
      </w:tr>
      <w:tr>
        <w:trPr/>
        <w:tc>
          <w:tcPr>
            <w:tcW w:w="4785" w:type="dxa"/>
            <w:tcBorders/>
            <w:shd w:fill="auto" w:val="clear"/>
          </w:tcPr>
          <w:p>
            <w:pPr>
              <w:pStyle w:val="TableContents"/>
              <w:spacing w:before="0" w:after="0"/>
              <w:ind w:left="0" w:right="0" w:firstLine="60"/>
              <w:jc w:val="center"/>
              <w:rPr>
                <w:sz w:val="18"/>
              </w:rPr>
            </w:pPr>
            <w:r>
              <w:rPr>
                <w:sz w:val="18"/>
              </w:rPr>
              <w:t>On or before October 19, 2012</w:t>
            </w:r>
          </w:p>
        </w:tc>
        <w:tc>
          <w:tcPr>
            <w:tcW w:w="3525" w:type="dxa"/>
            <w:tcBorders/>
            <w:shd w:fill="auto" w:val="clear"/>
          </w:tcPr>
          <w:p>
            <w:pPr>
              <w:pStyle w:val="TableContents"/>
              <w:spacing w:before="0" w:after="0"/>
              <w:ind w:left="0" w:right="0" w:firstLine="60"/>
              <w:jc w:val="center"/>
              <w:rPr>
                <w:sz w:val="18"/>
              </w:rPr>
            </w:pPr>
            <w:r>
              <w:rPr>
                <w:sz w:val="18"/>
              </w:rPr>
              <w:t>$500,000</w:t>
            </w:r>
          </w:p>
        </w:tc>
      </w:tr>
      <w:tr>
        <w:trPr/>
        <w:tc>
          <w:tcPr>
            <w:tcW w:w="4785" w:type="dxa"/>
            <w:tcBorders/>
            <w:shd w:fill="auto" w:val="clear"/>
          </w:tcPr>
          <w:p>
            <w:pPr>
              <w:pStyle w:val="TableContents"/>
              <w:spacing w:before="0" w:after="0"/>
              <w:ind w:left="0" w:right="0" w:firstLine="60"/>
              <w:jc w:val="center"/>
              <w:rPr/>
            </w:pPr>
            <w:r>
              <w:rPr/>
              <w:t> </w:t>
            </w:r>
            <w:r>
              <w:rPr>
                <w:sz w:val="18"/>
              </w:rPr>
              <w:t>On or before February 22, 2013</w:t>
            </w:r>
          </w:p>
        </w:tc>
        <w:tc>
          <w:tcPr>
            <w:tcW w:w="3525" w:type="dxa"/>
            <w:tcBorders/>
            <w:shd w:fill="auto" w:val="clear"/>
          </w:tcPr>
          <w:p>
            <w:pPr>
              <w:pStyle w:val="TableContents"/>
              <w:spacing w:before="0" w:after="0"/>
              <w:ind w:left="0" w:right="0" w:firstLine="60"/>
              <w:jc w:val="center"/>
              <w:rPr>
                <w:sz w:val="18"/>
              </w:rPr>
            </w:pPr>
            <w:r>
              <w:rPr>
                <w:sz w:val="18"/>
              </w:rPr>
              <w:t>$250,000</w:t>
            </w:r>
          </w:p>
        </w:tc>
      </w:tr>
      <w:tr>
        <w:trPr/>
        <w:tc>
          <w:tcPr>
            <w:tcW w:w="4785" w:type="dxa"/>
            <w:tcBorders/>
            <w:shd w:fill="auto" w:val="clear"/>
          </w:tcPr>
          <w:p>
            <w:pPr>
              <w:pStyle w:val="TableContents"/>
              <w:spacing w:before="0" w:after="0"/>
              <w:ind w:left="0" w:right="0" w:firstLine="60"/>
              <w:jc w:val="center"/>
              <w:rPr>
                <w:sz w:val="18"/>
              </w:rPr>
            </w:pPr>
            <w:r>
              <w:rPr>
                <w:sz w:val="18"/>
              </w:rPr>
              <w:t>On or before March 12, 2013</w:t>
            </w:r>
          </w:p>
        </w:tc>
        <w:tc>
          <w:tcPr>
            <w:tcW w:w="3525" w:type="dxa"/>
            <w:tcBorders/>
            <w:shd w:fill="auto" w:val="clear"/>
          </w:tcPr>
          <w:p>
            <w:pPr>
              <w:pStyle w:val="TableContents"/>
              <w:spacing w:before="0" w:after="0"/>
              <w:ind w:left="0" w:right="0" w:firstLine="60"/>
              <w:jc w:val="center"/>
              <w:rPr>
                <w:sz w:val="18"/>
              </w:rPr>
            </w:pPr>
            <w:r>
              <w:rPr>
                <w:sz w:val="18"/>
              </w:rPr>
              <w:t>$750,000</w:t>
            </w:r>
          </w:p>
        </w:tc>
      </w:tr>
    </w:tbl>
    <w:p>
      <w:pPr>
        <w:pStyle w:val="TextBody"/>
        <w:spacing w:before="0" w:after="0"/>
        <w:ind w:left="0" w:right="0" w:hanging="0"/>
        <w:rPr/>
      </w:pPr>
      <w:r>
        <w:rPr/>
      </w:r>
    </w:p>
    <w:p>
      <w:pPr>
        <w:pStyle w:val="TextBody"/>
        <w:spacing w:before="0" w:after="0"/>
        <w:ind w:left="0" w:right="0" w:hanging="30"/>
        <w:jc w:val="both"/>
        <w:rPr>
          <w:sz w:val="18"/>
        </w:rPr>
      </w:pPr>
      <w:r>
        <w:rPr>
          <w:sz w:val="18"/>
          <w:u w:val="single"/>
        </w:rPr>
        <w:t>Section</w:t>
      </w:r>
      <w:r>
        <w:rPr>
          <w:sz w:val="18"/>
        </w:rPr>
        <w:t xml:space="preserve"> </w:t>
      </w:r>
      <w:r>
        <w:rPr>
          <w:sz w:val="18"/>
          <w:u w:val="single"/>
        </w:rPr>
        <w:t>4.4.13</w:t>
      </w:r>
      <w:r>
        <w:rPr>
          <w:sz w:val="18"/>
        </w:rPr>
        <w:t xml:space="preserve"> of the Agreement, and all other terms and conditions set forth in the Agreement inconsistent with this Amendment No. 3 are hereby amended as necessary to carry out the intentions of the parties as set forth herein.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45415"/>
                <wp:effectExtent l="0" t="0" r="0" b="0"/>
                <wp:wrapSquare wrapText="largest"/>
                <wp:docPr id="8" name="Frame8"/>
                <a:graphic xmlns:a="http://schemas.openxmlformats.org/drawingml/2006/main">
                  <a:graphicData uri="http://schemas.microsoft.com/office/word/2010/wordprocessingShape">
                    <wps:wsp>
                      <wps:cNvSpPr txBox="1"/>
                      <wps:spPr>
                        <a:xfrm>
                          <a:off x="0" y="0"/>
                          <a:ext cx="457200" cy="145415"/>
                        </a:xfrm>
                        <a:prstGeom prst="rect"/>
                      </wps:spPr>
                      <wps:txbx>
                        <w:txbxContent>
                          <w:p>
                            <w:pPr>
                              <w:pStyle w:val="TextBody"/>
                              <w:spacing w:before="0" w:after="283"/>
                              <w:rPr>
                                <w:sz w:val="20"/>
                              </w:rPr>
                            </w:pPr>
                            <w:r>
                              <w:rPr>
                                <w:sz w:val="20"/>
                              </w:rPr>
                              <w:t>2.</w:t>
                            </w:r>
                          </w:p>
                        </w:txbxContent>
                      </wps:txbx>
                      <wps:bodyPr anchor="t" lIns="0" tIns="0" rIns="0" bIns="0">
                        <a:noAutofit/>
                      </wps:bodyPr>
                    </wps:wsp>
                  </a:graphicData>
                </a:graphic>
              </wp:anchor>
            </w:drawing>
          </mc:Choice>
          <mc:Fallback>
            <w:pict>
              <v:rect style="position:absolute;rotation:0;width:36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 Company represents and warrants to Platinum as follows: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45415"/>
                <wp:effectExtent l="0" t="0" r="0" b="0"/>
                <wp:wrapSquare wrapText="largest"/>
                <wp:docPr id="9" name="Frame9"/>
                <a:graphic xmlns:a="http://schemas.openxmlformats.org/drawingml/2006/main">
                  <a:graphicData uri="http://schemas.microsoft.com/office/word/2010/wordprocessingShape">
                    <wps:wsp>
                      <wps:cNvSpPr txBox="1"/>
                      <wps:spPr>
                        <a:xfrm>
                          <a:off x="0" y="0"/>
                          <a:ext cx="457200" cy="145415"/>
                        </a:xfrm>
                        <a:prstGeom prst="rect"/>
                      </wps:spPr>
                      <wps:txbx>
                        <w:txbxContent>
                          <w:p>
                            <w:pPr>
                              <w:pStyle w:val="TextBody"/>
                              <w:spacing w:before="0" w:after="283"/>
                              <w:rPr>
                                <w:sz w:val="20"/>
                              </w:rPr>
                            </w:pPr>
                            <w:r>
                              <w:rPr>
                                <w:sz w:val="20"/>
                              </w:rPr>
                              <w:t>3.</w:t>
                            </w:r>
                          </w:p>
                        </w:txbxContent>
                      </wps:txbx>
                      <wps:bodyPr anchor="t" lIns="0" tIns="0" rIns="0" bIns="0">
                        <a:noAutofit/>
                      </wps:bodyPr>
                    </wps:wsp>
                  </a:graphicData>
                </a:graphic>
              </wp:anchor>
            </w:drawing>
          </mc:Choice>
          <mc:Fallback>
            <w:pict>
              <v:rect style="position:absolute;rotation:0;width:36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w:t>
      </w:r>
      <w:r>
        <w:rPr>
          <w:sz w:val="18"/>
        </w:rPr>
        <w:t>Except as the same may be qualified by any attachment hereto updating disclosures in any existing exhibit to the Agreement, the representations, warranties and covenants of the Company made in the Transaction Documents remain true and accurate and are hereby incorporated in this Amendment by reference and reaffirmed as of the date hereof.</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                </w:t>
                            </w:r>
                            <w:r>
                              <w:rPr>
                                <w:sz w:val="18"/>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r>
                        <w:rPr>
                          <w:sz w:val="18"/>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 Company has performed, in all material respects, all obligations required to be performed by it under the Transaction Documents, and no default or Event of Default exists thereunder or an event which, with the passage of time or giving of notice or both, would constitute a default or Event of Default.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                </w:t>
                            </w:r>
                            <w:r>
                              <w:rPr>
                                <w:sz w:val="18"/>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r>
                        <w:rPr>
                          <w:sz w:val="18"/>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The execution, delivery and performance of this Amendment are within the power of the Company and are not in contravention of law, of the Company’s Articles of Incorporation, By-laws or the terms of any other documents, agreements or undertakings to which the Company is a party or by which the Company is bound.  No approval of any person, corporation, governmental body or other entity not provided herewith is a prerequisite to the execution, delivery and performance by the Company of this Amendment or any of the documents submitted to Platinum in connection with the this Amendment, to ensure the validity or enforceability thereof.</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                </w:t>
                            </w:r>
                            <w:r>
                              <w:rPr>
                                <w:sz w:val="18"/>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r>
                        <w:rPr>
                          <w:sz w:val="18"/>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sz w:val="18"/>
        </w:rPr>
      </w:pPr>
      <w:r>
        <w:rPr>
          <w:sz w:val="18"/>
        </w:rPr>
        <w:t>When executed on behalf of the Company, this Amendment will constitute the legally binding obligations of the Company, enforceable in accordance with their terms, subject to the effect of applicable bankruptcy, insolvency, reorganization, moratorium and other similar laws now existing or hereafter enacted relating to or affecting the enforcement of creditors’ rights generally, and the enforceability may be subject to limitations based on general principles of equity (regardless of whether such enforceability is considered a proceeding in equity or at law).</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14400" cy="133985"/>
                <wp:effectExtent l="0" t="0" r="0" b="0"/>
                <wp:wrapSquare wrapText="largest"/>
                <wp:docPr id="13" name="Frame13"/>
                <a:graphic xmlns:a="http://schemas.openxmlformats.org/drawingml/2006/main">
                  <a:graphicData uri="http://schemas.microsoft.com/office/word/2010/wordprocessingShape">
                    <wps:wsp>
                      <wps:cNvSpPr txBox="1"/>
                      <wps:spPr>
                        <a:xfrm>
                          <a:off x="0" y="0"/>
                          <a:ext cx="914400" cy="133985"/>
                        </a:xfrm>
                        <a:prstGeom prst="rect"/>
                      </wps:spPr>
                      <wps:txbx>
                        <w:txbxContent>
                          <w:p>
                            <w:pPr>
                              <w:pStyle w:val="TextBody"/>
                              <w:spacing w:before="0" w:after="283"/>
                              <w:rPr>
                                <w:sz w:val="18"/>
                              </w:rPr>
                            </w:pPr>
                            <w:r>
                              <w:rPr>
                                <w:sz w:val="18"/>
                              </w:rPr>
                              <w:t>(d)</w:t>
                            </w:r>
                          </w:p>
                        </w:txbxContent>
                      </wps:txbx>
                      <wps:bodyPr anchor="t" lIns="0" tIns="0" rIns="0" bIns="0">
                        <a:noAutofit/>
                      </wps:bodyPr>
                    </wps:wsp>
                  </a:graphicData>
                </a:graphic>
              </wp:anchor>
            </w:drawing>
          </mc:Choice>
          <mc:Fallback>
            <w:pict>
              <v:rect style="position:absolute;rotation:0;width:72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(d)</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jc w:val="both"/>
        <w:rPr>
          <w:sz w:val="18"/>
        </w:rPr>
      </w:pPr>
      <w:r>
        <w:rPr>
          <w:sz w:val="18"/>
        </w:rPr>
        <w:t>The provisions of the Agreement, as modified herein, shall remain in full force and effect in accordance with their terms and are hereby ratified and confirmed.  Platinum does not in any way waive the Company’s obligations to comply with any of the provisions, covenants and terms of the Agreement (as amended hereby) and the other Transaction Documents.  This Amendment shall be governed by the laws of the State of New York without regard to the conflict of laws provisions thereof.</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45415"/>
                <wp:effectExtent l="0" t="0" r="0" b="0"/>
                <wp:wrapSquare wrapText="largest"/>
                <wp:docPr id="14" name="Frame14"/>
                <a:graphic xmlns:a="http://schemas.openxmlformats.org/drawingml/2006/main">
                  <a:graphicData uri="http://schemas.microsoft.com/office/word/2010/wordprocessingShape">
                    <wps:wsp>
                      <wps:cNvSpPr txBox="1"/>
                      <wps:spPr>
                        <a:xfrm>
                          <a:off x="0" y="0"/>
                          <a:ext cx="457200" cy="145415"/>
                        </a:xfrm>
                        <a:prstGeom prst="rect"/>
                      </wps:spPr>
                      <wps:txbx>
                        <w:txbxContent>
                          <w:p>
                            <w:pPr>
                              <w:pStyle w:val="TextBody"/>
                              <w:spacing w:before="0" w:after="283"/>
                              <w:rPr>
                                <w:sz w:val="20"/>
                              </w:rPr>
                            </w:pPr>
                            <w:r>
                              <w:rPr>
                                <w:sz w:val="20"/>
                              </w:rPr>
                              <w:t>4.</w:t>
                            </w:r>
                          </w:p>
                        </w:txbxContent>
                      </wps:txbx>
                      <wps:bodyPr anchor="t" lIns="0" tIns="0" rIns="0" bIns="0">
                        <a:noAutofit/>
                      </wps:bodyPr>
                    </wps:wsp>
                  </a:graphicData>
                </a:graphic>
              </wp:anchor>
            </w:drawing>
          </mc:Choice>
          <mc:Fallback>
            <w:pict>
              <v:rect style="position:absolute;rotation:0;width:36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sz w:val="18"/>
        </w:rPr>
      </w:pPr>
      <w:r>
        <w:rPr>
          <w:sz w:val="18"/>
        </w:rPr>
        <w:t>[REMAINDER OF PAGE INTENTIONALLY LEFT BLANK]</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0"/>
        <w:jc w:val="center"/>
        <w:rPr/>
      </w:pPr>
      <w:r>
        <w:rPr/>
      </w:r>
    </w:p>
    <w:p>
      <w:pPr>
        <w:pStyle w:val="TextBody"/>
        <w:spacing w:before="0" w:after="0"/>
        <w:ind w:left="0" w:right="0" w:firstLine="720"/>
        <w:rPr>
          <w:sz w:val="18"/>
        </w:rPr>
      </w:pPr>
      <w:r>
        <w:rPr>
          <w:b/>
          <w:sz w:val="18"/>
        </w:rPr>
        <w:t>IN WITNESS WHEREOF</w:t>
      </w:r>
      <w:r>
        <w:rPr>
          <w:sz w:val="18"/>
        </w:rPr>
        <w:t>, this Amendment is executed as of the day and year first written above.</w:t>
      </w:r>
    </w:p>
    <w:p>
      <w:pPr>
        <w:pStyle w:val="TextBody"/>
        <w:spacing w:before="0" w:after="0"/>
        <w:ind w:left="0" w:right="0" w:hanging="0"/>
        <w:rPr/>
      </w:pPr>
      <w:r>
        <w:rPr/>
      </w:r>
    </w:p>
    <w:p>
      <w:pPr>
        <w:pStyle w:val="TextBody"/>
        <w:spacing w:before="0" w:after="0"/>
        <w:ind w:left="0" w:right="0" w:hanging="0"/>
        <w:rPr/>
      </w:pPr>
      <w:r>
        <w:rPr/>
      </w:r>
    </w:p>
    <w:tbl>
      <w:tblPr>
        <w:tblW w:w="9630" w:type="dxa"/>
        <w:jc w:val="center"/>
        <w:tblInd w:w="0" w:type="dxa"/>
        <w:tblCellMar>
          <w:top w:w="0" w:type="dxa"/>
          <w:left w:w="0" w:type="dxa"/>
          <w:bottom w:w="0" w:type="dxa"/>
          <w:right w:w="0" w:type="dxa"/>
        </w:tblCellMar>
      </w:tblPr>
      <w:tblGrid>
        <w:gridCol w:w="4095"/>
        <w:gridCol w:w="360"/>
        <w:gridCol w:w="270"/>
        <w:gridCol w:w="4905"/>
      </w:tblGrid>
      <w:tr>
        <w:trPr/>
        <w:tc>
          <w:tcPr>
            <w:tcW w:w="409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905" w:type="dxa"/>
            <w:tcBorders/>
            <w:shd w:fill="auto" w:val="clear"/>
            <w:vAlign w:val="center"/>
          </w:tcPr>
          <w:p>
            <w:pPr>
              <w:pStyle w:val="TableContents"/>
              <w:spacing w:before="0" w:after="283"/>
              <w:ind w:left="0" w:right="0" w:firstLine="60"/>
              <w:rPr>
                <w:sz w:val="4"/>
                <w:szCs w:val="4"/>
              </w:rPr>
            </w:pPr>
            <w:r>
              <w:rPr>
                <w:sz w:val="4"/>
                <w:szCs w:val="4"/>
              </w:rPr>
            </w:r>
          </w:p>
        </w:tc>
      </w:tr>
      <w:tr>
        <w:trPr>
          <w:trHeight w:val="465" w:hRule="atLeast"/>
        </w:trPr>
        <w:tc>
          <w:tcPr>
            <w:tcW w:w="4095" w:type="dxa"/>
            <w:tcBorders/>
            <w:shd w:fill="auto" w:val="clear"/>
          </w:tcPr>
          <w:p>
            <w:pPr>
              <w:pStyle w:val="TableContents"/>
              <w:spacing w:before="0" w:after="0"/>
              <w:ind w:left="0" w:right="0" w:firstLine="60"/>
              <w:rPr>
                <w:sz w:val="18"/>
              </w:rPr>
            </w:pPr>
            <w:r>
              <w:rPr>
                <w:sz w:val="18"/>
              </w:rPr>
              <w:t>ADDRESS:</w:t>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b/>
                <w:sz w:val="18"/>
              </w:rPr>
            </w:pPr>
            <w:r>
              <w:rPr>
                <w:b/>
                <w:sz w:val="18"/>
              </w:rPr>
              <w:t>VISTAGEN THERAPEUTICS, INC.</w:t>
            </w:r>
          </w:p>
        </w:tc>
      </w:tr>
      <w:tr>
        <w:trPr>
          <w:trHeight w:val="465" w:hRule="atLeast"/>
        </w:trPr>
        <w:tc>
          <w:tcPr>
            <w:tcW w:w="4095" w:type="dxa"/>
            <w:tcBorders/>
            <w:shd w:fill="auto" w:val="clear"/>
          </w:tcPr>
          <w:p>
            <w:pPr>
              <w:pStyle w:val="TableContents"/>
              <w:spacing w:before="0" w:after="0"/>
              <w:ind w:left="0" w:right="0" w:firstLine="60"/>
              <w:rPr>
                <w:sz w:val="18"/>
              </w:rPr>
            </w:pPr>
            <w:r>
              <w:rPr>
                <w:sz w:val="18"/>
              </w:rPr>
              <w:t>384 Oyster Point Blvd., Suite No. 8</w:t>
            </w:r>
          </w:p>
          <w:p>
            <w:pPr>
              <w:pStyle w:val="TableContents"/>
              <w:spacing w:before="0" w:after="0"/>
              <w:ind w:left="0" w:right="0" w:firstLine="60"/>
              <w:rPr>
                <w:sz w:val="18"/>
              </w:rPr>
            </w:pPr>
            <w:r>
              <w:rPr>
                <w:sz w:val="18"/>
              </w:rPr>
              <w:t>South San Francisco, California 94080</w:t>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sz w:val="18"/>
              </w:rPr>
            </w:pPr>
            <w:r>
              <w:rPr>
                <w:sz w:val="18"/>
              </w:rPr>
              <w:t xml:space="preserve">By: </w:t>
            </w:r>
            <w:r>
              <w:rPr>
                <w:sz w:val="18"/>
                <w:u w:val="single"/>
              </w:rPr>
              <w:t>/s/ Shawn K. Singh</w:t>
            </w:r>
          </w:p>
          <w:p>
            <w:pPr>
              <w:pStyle w:val="TableContents"/>
              <w:spacing w:before="0" w:after="0"/>
              <w:ind w:left="0" w:right="0" w:firstLine="60"/>
              <w:rPr>
                <w:sz w:val="18"/>
              </w:rPr>
            </w:pPr>
            <w:r>
              <w:rPr>
                <w:sz w:val="18"/>
              </w:rPr>
              <w:t>Name: Shawn K. Singh</w:t>
            </w:r>
          </w:p>
          <w:p>
            <w:pPr>
              <w:pStyle w:val="TableContents"/>
              <w:spacing w:before="0" w:after="0"/>
              <w:ind w:left="0" w:right="0" w:firstLine="60"/>
              <w:rPr>
                <w:sz w:val="18"/>
              </w:rPr>
            </w:pPr>
            <w:r>
              <w:rPr>
                <w:sz w:val="18"/>
              </w:rPr>
              <w:t>Title: Chief Executive Officer</w:t>
            </w:r>
          </w:p>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sz w:val="18"/>
              </w:rPr>
            </w:pPr>
            <w:r>
              <w:rPr>
                <w:sz w:val="18"/>
              </w:rPr>
              <w:t>ADDRESS:</w:t>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b/>
                <w:sz w:val="18"/>
              </w:rPr>
            </w:pPr>
            <w:r>
              <w:rPr>
                <w:b/>
                <w:sz w:val="18"/>
              </w:rPr>
              <w:t>PLATINUM LONG TERM GROWTH VII, LLC</w:t>
            </w:r>
          </w:p>
        </w:tc>
      </w:tr>
      <w:tr>
        <w:trPr>
          <w:trHeight w:val="465" w:hRule="atLeast"/>
        </w:trPr>
        <w:tc>
          <w:tcPr>
            <w:tcW w:w="4095" w:type="dxa"/>
            <w:tcBorders/>
            <w:shd w:fill="auto" w:val="clear"/>
          </w:tcPr>
          <w:p>
            <w:pPr>
              <w:pStyle w:val="TableContents"/>
              <w:spacing w:before="0" w:after="0"/>
              <w:ind w:left="0" w:right="0" w:firstLine="60"/>
              <w:rPr>
                <w:sz w:val="18"/>
              </w:rPr>
            </w:pPr>
            <w:r>
              <w:rPr>
                <w:sz w:val="18"/>
              </w:rPr>
              <w:t>152 West 57</w:t>
            </w:r>
            <w:r>
              <w:rPr>
                <w:position w:val="6"/>
                <w:sz w:val="15"/>
                <w:sz w:val="18"/>
              </w:rPr>
              <w:t>th</w:t>
            </w:r>
            <w:r>
              <w:rPr>
                <w:sz w:val="18"/>
              </w:rPr>
              <w:t xml:space="preserve"> Street, 4</w:t>
            </w:r>
            <w:r>
              <w:rPr>
                <w:position w:val="6"/>
                <w:sz w:val="15"/>
                <w:sz w:val="18"/>
              </w:rPr>
              <w:t>th</w:t>
            </w:r>
            <w:r>
              <w:rPr>
                <w:sz w:val="18"/>
              </w:rPr>
              <w:t xml:space="preserve"> Floor</w:t>
            </w:r>
          </w:p>
          <w:p>
            <w:pPr>
              <w:pStyle w:val="TableContents"/>
              <w:spacing w:before="0" w:after="0"/>
              <w:ind w:left="0" w:right="0" w:firstLine="60"/>
              <w:rPr>
                <w:sz w:val="18"/>
              </w:rPr>
            </w:pPr>
            <w:r>
              <w:rPr>
                <w:sz w:val="18"/>
              </w:rPr>
              <w:t>New York, NY 10019</w:t>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sz w:val="18"/>
              </w:rPr>
            </w:pPr>
            <w:r>
              <w:rPr>
                <w:sz w:val="18"/>
              </w:rPr>
              <w:t xml:space="preserve">By: </w:t>
            </w:r>
            <w:r>
              <w:rPr>
                <w:sz w:val="18"/>
                <w:u w:val="single"/>
              </w:rPr>
              <w:t>/s/ Michael Goldberg</w:t>
            </w:r>
          </w:p>
          <w:p>
            <w:pPr>
              <w:pStyle w:val="TableContents"/>
              <w:spacing w:before="0" w:after="0"/>
              <w:ind w:left="0" w:right="0" w:firstLine="60"/>
              <w:rPr>
                <w:sz w:val="18"/>
              </w:rPr>
            </w:pPr>
            <w:r>
              <w:rPr>
                <w:sz w:val="18"/>
              </w:rPr>
              <w:t>Name: Michael Goldberg</w:t>
            </w:r>
          </w:p>
          <w:p>
            <w:pPr>
              <w:pStyle w:val="TableContents"/>
              <w:spacing w:before="0" w:after="0"/>
              <w:ind w:left="0" w:right="0" w:firstLine="60"/>
              <w:rPr>
                <w:sz w:val="18"/>
              </w:rPr>
            </w:pPr>
            <w:r>
              <w:rPr>
                <w:sz w:val="18"/>
              </w:rPr>
              <w:t>Title: Portfolio Manager</w:t>
            </w:r>
          </w:p>
          <w:p>
            <w:pPr>
              <w:pStyle w:val="TableContents"/>
              <w:spacing w:before="0" w:after="0"/>
              <w:ind w:left="0" w:right="0" w:firstLine="60"/>
              <w:rPr/>
            </w:pPr>
            <w:r>
              <w:rPr/>
            </w:r>
          </w:p>
        </w:tc>
      </w:tr>
      <w:tr>
        <w:trPr>
          <w:trHeight w:val="480"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sz w:val="18"/>
        </w:rPr>
      </w:pPr>
      <w:r>
        <w:rPr>
          <w:sz w:val="18"/>
        </w:rPr>
        <w:t>The undersigned hereby acknowledge and agree to the execution and delivery of this Amendment No. 3.  Each of the undersigned hereby ratifies and confirms the Transaction Documents delivered by such party in all respects.  The undersigned further confirm that nothing in the Transaction Documents shall require or suggest that the consent or confirmation by the undersigned of its obligations under Transaction Documents to which it is a party is required in connection with this Amendment No. 3 or any other amendment or modification of any of the Agreement as a condition of the continued effectiveness of the Transaction Documents with respect to the undersigned.  </w:t>
      </w:r>
    </w:p>
    <w:p>
      <w:pPr>
        <w:pStyle w:val="TextBody"/>
        <w:spacing w:before="0" w:after="0"/>
        <w:ind w:left="0" w:right="0" w:hanging="0"/>
        <w:jc w:val="both"/>
        <w:rPr/>
      </w:pPr>
      <w:r>
        <w:rPr/>
      </w:r>
    </w:p>
    <w:tbl>
      <w:tblPr>
        <w:tblW w:w="9630" w:type="dxa"/>
        <w:jc w:val="center"/>
        <w:tblInd w:w="0" w:type="dxa"/>
        <w:tblCellMar>
          <w:top w:w="0" w:type="dxa"/>
          <w:left w:w="0" w:type="dxa"/>
          <w:bottom w:w="0" w:type="dxa"/>
          <w:right w:w="0" w:type="dxa"/>
        </w:tblCellMar>
      </w:tblPr>
      <w:tblGrid>
        <w:gridCol w:w="4095"/>
        <w:gridCol w:w="360"/>
        <w:gridCol w:w="270"/>
        <w:gridCol w:w="4905"/>
      </w:tblGrid>
      <w:tr>
        <w:trPr/>
        <w:tc>
          <w:tcPr>
            <w:tcW w:w="409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905" w:type="dxa"/>
            <w:tcBorders/>
            <w:shd w:fill="auto" w:val="clear"/>
            <w:vAlign w:val="center"/>
          </w:tcPr>
          <w:p>
            <w:pPr>
              <w:pStyle w:val="TableContents"/>
              <w:spacing w:before="0" w:after="283"/>
              <w:ind w:left="0" w:right="0" w:firstLine="60"/>
              <w:rPr>
                <w:sz w:val="4"/>
                <w:szCs w:val="4"/>
              </w:rPr>
            </w:pPr>
            <w:r>
              <w:rPr>
                <w:sz w:val="4"/>
                <w:szCs w:val="4"/>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b/>
                <w:sz w:val="18"/>
              </w:rPr>
            </w:pPr>
            <w:r>
              <w:rPr>
                <w:b/>
                <w:sz w:val="18"/>
              </w:rPr>
              <w:t>VISTAGEN THERAPEUTICS, INC., a California corporation</w:t>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sz w:val="18"/>
              </w:rPr>
            </w:pPr>
            <w:r>
              <w:rPr>
                <w:sz w:val="18"/>
              </w:rPr>
              <w:t xml:space="preserve">By: </w:t>
            </w:r>
            <w:r>
              <w:rPr>
                <w:sz w:val="18"/>
                <w:u w:val="single"/>
              </w:rPr>
              <w:t>/s/ Shawn K. Singh</w:t>
            </w:r>
          </w:p>
          <w:p>
            <w:pPr>
              <w:pStyle w:val="TableContents"/>
              <w:spacing w:before="0" w:after="0"/>
              <w:ind w:left="0" w:right="0" w:firstLine="60"/>
              <w:rPr>
                <w:sz w:val="18"/>
              </w:rPr>
            </w:pPr>
            <w:r>
              <w:rPr>
                <w:sz w:val="18"/>
              </w:rPr>
              <w:t>Name: Shawn K. Singh</w:t>
            </w:r>
          </w:p>
          <w:p>
            <w:pPr>
              <w:pStyle w:val="TableContents"/>
              <w:spacing w:before="0" w:after="0"/>
              <w:ind w:left="0" w:right="0" w:firstLine="60"/>
              <w:rPr>
                <w:sz w:val="18"/>
              </w:rPr>
            </w:pPr>
            <w:r>
              <w:rPr>
                <w:sz w:val="18"/>
              </w:rPr>
              <w:t>Title: Chief Executive Officer</w:t>
            </w:r>
          </w:p>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r>
        <w:trPr>
          <w:trHeight w:val="46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b/>
                <w:sz w:val="18"/>
              </w:rPr>
            </w:pPr>
            <w:r>
              <w:rPr>
                <w:b/>
                <w:sz w:val="18"/>
              </w:rPr>
              <w:t>ARTEMIS NEUROSCIENCE, INC.</w:t>
            </w:r>
          </w:p>
        </w:tc>
      </w:tr>
      <w:tr>
        <w:trPr>
          <w:trHeight w:val="435"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pPr>
            <w:r>
              <w:rPr/>
            </w:r>
          </w:p>
        </w:tc>
      </w:tr>
      <w:tr>
        <w:trPr>
          <w:trHeight w:val="450" w:hRule="atLeast"/>
        </w:trPr>
        <w:tc>
          <w:tcPr>
            <w:tcW w:w="4095" w:type="dxa"/>
            <w:tcBorders/>
            <w:shd w:fill="auto" w:val="clear"/>
          </w:tcPr>
          <w:p>
            <w:pPr>
              <w:pStyle w:val="TableContents"/>
              <w:spacing w:before="0" w:after="0"/>
              <w:ind w:left="0" w:right="0" w:firstLine="60"/>
              <w:rPr/>
            </w:pPr>
            <w:r>
              <w:rPr/>
            </w:r>
          </w:p>
        </w:tc>
        <w:tc>
          <w:tcPr>
            <w:tcW w:w="360" w:type="dxa"/>
            <w:tcBorders/>
            <w:shd w:fill="auto" w:val="clear"/>
          </w:tcPr>
          <w:p>
            <w:pPr>
              <w:pStyle w:val="TableContents"/>
              <w:spacing w:before="0" w:after="0"/>
              <w:ind w:left="0" w:right="0" w:firstLine="60"/>
              <w:rPr/>
            </w:pPr>
            <w:r>
              <w:rPr/>
            </w:r>
          </w:p>
        </w:tc>
        <w:tc>
          <w:tcPr>
            <w:tcW w:w="270" w:type="dxa"/>
            <w:tcBorders/>
            <w:shd w:fill="auto" w:val="clear"/>
          </w:tcPr>
          <w:p>
            <w:pPr>
              <w:pStyle w:val="TableContents"/>
              <w:spacing w:before="0" w:after="0"/>
              <w:ind w:left="0" w:right="0" w:firstLine="60"/>
              <w:rPr/>
            </w:pPr>
            <w:r>
              <w:rPr/>
            </w:r>
          </w:p>
        </w:tc>
        <w:tc>
          <w:tcPr>
            <w:tcW w:w="4905" w:type="dxa"/>
            <w:tcBorders/>
            <w:shd w:fill="auto" w:val="clear"/>
          </w:tcPr>
          <w:p>
            <w:pPr>
              <w:pStyle w:val="TableContents"/>
              <w:spacing w:before="0" w:after="0"/>
              <w:ind w:left="0" w:right="0" w:firstLine="60"/>
              <w:rPr>
                <w:sz w:val="18"/>
              </w:rPr>
            </w:pPr>
            <w:r>
              <w:rPr>
                <w:sz w:val="18"/>
              </w:rPr>
              <w:t xml:space="preserve">By: </w:t>
            </w:r>
            <w:r>
              <w:rPr>
                <w:sz w:val="18"/>
                <w:u w:val="single"/>
              </w:rPr>
              <w:t>/s/ Shawn K. Singh</w:t>
            </w:r>
          </w:p>
          <w:p>
            <w:pPr>
              <w:pStyle w:val="TableContents"/>
              <w:spacing w:before="0" w:after="0"/>
              <w:ind w:left="0" w:right="0" w:firstLine="60"/>
              <w:rPr>
                <w:sz w:val="18"/>
              </w:rPr>
            </w:pPr>
            <w:r>
              <w:rPr>
                <w:sz w:val="18"/>
              </w:rPr>
              <w:t>Name: Shawn K. Singh</w:t>
            </w:r>
          </w:p>
          <w:p>
            <w:pPr>
              <w:pStyle w:val="TableContents"/>
              <w:spacing w:before="0" w:after="0"/>
              <w:ind w:left="0" w:right="0" w:firstLine="60"/>
              <w:rPr>
                <w:sz w:val="18"/>
              </w:rPr>
            </w:pPr>
            <w:r>
              <w:rPr>
                <w:sz w:val="18"/>
              </w:rPr>
              <w:t>Title: President</w:t>
            </w:r>
          </w:p>
          <w:p>
            <w:pPr>
              <w:pStyle w:val="TableContents"/>
              <w:spacing w:before="0" w:after="0"/>
              <w:ind w:left="0" w:right="0" w:firstLine="60"/>
              <w:rPr/>
            </w:pPr>
            <w:r>
              <w:rPr/>
            </w:r>
          </w:p>
        </w:tc>
      </w:tr>
    </w:tbl>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8"/>
        </w:rPr>
      </w:pPr>
      <w:r>
        <w:rPr>
          <w:sz w:val="18"/>
        </w:rPr>
        <w:t>[Amendment No. 3 to Note Exchange and Purchase Agreement]</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1805</Words>
  <CharactersWithSpaces>11537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